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332" w:rsidRPr="007F2332" w:rsidRDefault="007F2332" w:rsidP="007F2332">
      <w:pPr>
        <w:suppressAutoHyphens/>
        <w:spacing w:after="0"/>
        <w:ind w:firstLine="708"/>
        <w:jc w:val="right"/>
        <w:rPr>
          <w:rFonts w:ascii="Times New Roman" w:eastAsia="Times New Roman" w:hAnsi="Times New Roman" w:cs="Times New Roman"/>
          <w:color w:val="FF0000"/>
          <w:sz w:val="30"/>
          <w:szCs w:val="30"/>
          <w:lang w:val="en-US" w:eastAsia="ru-RU"/>
        </w:rPr>
      </w:pPr>
      <w:r w:rsidRPr="004A0401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color w:val="FF0000"/>
          <w:sz w:val="30"/>
          <w:szCs w:val="30"/>
          <w:lang w:val="en-US" w:eastAsia="ru-RU"/>
        </w:rPr>
        <w:t>1</w:t>
      </w:r>
    </w:p>
    <w:p w:rsidR="007F2332" w:rsidRDefault="007F2332" w:rsidP="004B31FE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D14C4" w:rsidRPr="00A13CCC" w:rsidRDefault="001D14C4" w:rsidP="007F2332">
      <w:pPr>
        <w:spacing w:after="12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13CCC">
        <w:rPr>
          <w:rFonts w:ascii="Times New Roman" w:hAnsi="Times New Roman" w:cs="Times New Roman"/>
          <w:b/>
          <w:sz w:val="30"/>
          <w:szCs w:val="30"/>
        </w:rPr>
        <w:t xml:space="preserve">Уважаемые </w:t>
      </w:r>
      <w:r w:rsidR="00005394" w:rsidRPr="00A13CCC">
        <w:rPr>
          <w:rFonts w:ascii="Times New Roman" w:hAnsi="Times New Roman" w:cs="Times New Roman"/>
          <w:b/>
          <w:sz w:val="30"/>
          <w:szCs w:val="30"/>
        </w:rPr>
        <w:t xml:space="preserve">члены коллегии и </w:t>
      </w:r>
      <w:r w:rsidRPr="00A13CCC">
        <w:rPr>
          <w:rFonts w:ascii="Times New Roman" w:hAnsi="Times New Roman" w:cs="Times New Roman"/>
          <w:b/>
          <w:sz w:val="30"/>
          <w:szCs w:val="30"/>
        </w:rPr>
        <w:t>приглашенные!</w:t>
      </w:r>
    </w:p>
    <w:p w:rsidR="005C0AC0" w:rsidRDefault="005C0AC0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Транспортный комплекс </w:t>
      </w:r>
      <w:r w:rsidR="004378C9"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4378C9"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Татарстан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включает в себя: автомобильный и городской наземный электрический транспорт, воздушный транспорт, внутренний водный транспорт, железнодорожный транспорт и метрополитен.</w:t>
      </w:r>
    </w:p>
    <w:p w:rsidR="001D14C4" w:rsidRDefault="001D14C4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Кратко проинформирую об основных итогах работы транспортной отрасли</w:t>
      </w:r>
      <w:r w:rsidR="00005394"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</w:t>
      </w:r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1 полугодие 201</w:t>
      </w:r>
      <w:r w:rsidR="00A1752F" w:rsidRPr="00A1752F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года.</w:t>
      </w:r>
    </w:p>
    <w:p w:rsidR="007F2332" w:rsidRPr="00A13CCC" w:rsidRDefault="007F2332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F2332" w:rsidRPr="007F2332" w:rsidRDefault="007F2332" w:rsidP="007F2332">
      <w:pPr>
        <w:suppressAutoHyphens/>
        <w:spacing w:after="0"/>
        <w:ind w:firstLine="708"/>
        <w:jc w:val="right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4A0401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Слайд </w:t>
      </w:r>
      <w:r w:rsidRPr="007F233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2</w:t>
      </w:r>
    </w:p>
    <w:p w:rsidR="0005401B" w:rsidRPr="007F2332" w:rsidRDefault="0005401B" w:rsidP="007F2332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</w:pPr>
      <w:r w:rsidRPr="007F2332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Итоги работы железнодорожного транспорта</w:t>
      </w:r>
    </w:p>
    <w:p w:rsidR="00277A17" w:rsidRPr="004A0401" w:rsidRDefault="00277A17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0401">
        <w:rPr>
          <w:rFonts w:ascii="Times New Roman" w:eastAsia="Times New Roman" w:hAnsi="Times New Roman" w:cs="Times New Roman"/>
          <w:sz w:val="30"/>
          <w:szCs w:val="30"/>
          <w:lang w:eastAsia="ru-RU"/>
        </w:rPr>
        <w:t>Оператором пригородных железнодорожных перевозок на территории республики является пригородная пассажирская компания «Содружество».</w:t>
      </w:r>
    </w:p>
    <w:p w:rsidR="00277A17" w:rsidRPr="004A0401" w:rsidRDefault="00277A17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0401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первом полугодии перевозки осуществлялись по 107 маршрутам на которых задействовано 28 составов.</w:t>
      </w:r>
    </w:p>
    <w:p w:rsidR="00277A17" w:rsidRPr="004A0401" w:rsidRDefault="00277A17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040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Объемные показатели приведены на слайде.</w:t>
      </w:r>
    </w:p>
    <w:p w:rsidR="00277A17" w:rsidRPr="004A0401" w:rsidRDefault="00277A17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0401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Рост объемов перевозок</w:t>
      </w:r>
      <w:r w:rsidR="00407B38" w:rsidRPr="00407B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07B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незначителен – всего 1% (на 30 тысяч пассажиров больше 1 полугодия 2018) и </w:t>
      </w:r>
      <w:r w:rsidRPr="004A04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связан с запуском в декабре прошлого года маршрута </w:t>
      </w:r>
      <w:proofErr w:type="spellStart"/>
      <w:r w:rsidRPr="004A0401">
        <w:rPr>
          <w:rFonts w:ascii="Times New Roman" w:eastAsia="Times New Roman" w:hAnsi="Times New Roman" w:cs="Times New Roman"/>
          <w:sz w:val="30"/>
          <w:szCs w:val="30"/>
          <w:lang w:eastAsia="ru-RU"/>
        </w:rPr>
        <w:t>Буа</w:t>
      </w:r>
      <w:proofErr w:type="spellEnd"/>
      <w:r w:rsidRPr="004A04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-Свияжск и переводом на ежедневное </w:t>
      </w:r>
      <w:proofErr w:type="spellStart"/>
      <w:r w:rsidRPr="004A0401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курсирование</w:t>
      </w:r>
      <w:proofErr w:type="spellEnd"/>
      <w:r w:rsidRPr="004A04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двух пар поездов маршрута Ижевск-Набережные Челны-Нижнекамск.</w:t>
      </w:r>
    </w:p>
    <w:p w:rsidR="00277A17" w:rsidRDefault="00277A17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040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Компенсация из бюджета Республики Татарстан в связи с государственным регулированием тарифов и перевозкой льготных категорий граждан за первое полугодие составила 118,17 млн. рублей.</w:t>
      </w:r>
    </w:p>
    <w:p w:rsidR="007F2332" w:rsidRDefault="007F2332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F2332" w:rsidRPr="007F2332" w:rsidRDefault="007F2332" w:rsidP="007F2332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FF0000"/>
          <w:sz w:val="30"/>
          <w:szCs w:val="30"/>
          <w:lang w:val="en-US" w:eastAsia="ru-RU"/>
        </w:rPr>
      </w:pPr>
      <w:r w:rsidRPr="007F233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Слайд </w:t>
      </w:r>
      <w:r w:rsidRPr="007F2332">
        <w:rPr>
          <w:rFonts w:ascii="Times New Roman" w:eastAsia="Times New Roman" w:hAnsi="Times New Roman" w:cs="Times New Roman"/>
          <w:color w:val="FF0000"/>
          <w:sz w:val="30"/>
          <w:szCs w:val="30"/>
          <w:lang w:val="en-US" w:eastAsia="ru-RU"/>
        </w:rPr>
        <w:t>3</w:t>
      </w:r>
    </w:p>
    <w:p w:rsidR="00277A17" w:rsidRPr="007F2332" w:rsidRDefault="008B04A0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277A17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а шесть месяцев 2019 года железнодорожным транспортом по территории Республики Татарстан перевезено 7 миллионов 562 тысяч тонн грузов, что, к сожалению, на 9,2 % ниже уровня первого полугодия 2018 года (8, 326 тыс. тонн).</w:t>
      </w:r>
    </w:p>
    <w:p w:rsidR="00277A17" w:rsidRPr="007F2332" w:rsidRDefault="00277A17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Снижение объемов перевозок обусловлено уменьшением объема отгрузки нефти, нефтепродуктов и химикатов, а также зерновых.</w:t>
      </w:r>
    </w:p>
    <w:p w:rsidR="00277A17" w:rsidRPr="007F2332" w:rsidRDefault="008B04A0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Падение объемов грузоперевозок железнодорожным транспортом произошло в целом по стране на 1,5%, а по преобладающим в номенклатуре перевозок в Республике Татарстан видам грузов таким как нефть и нефтепродукты – на 2,4%</w:t>
      </w:r>
      <w:r w:rsidR="002E1DC4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2E1DC4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( в</w:t>
      </w:r>
      <w:proofErr w:type="gramEnd"/>
      <w:r w:rsidR="002E1DC4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Татарстане падение на 6,5%)</w:t>
      </w: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, зерно и продукты перемола – на 36,4%</w:t>
      </w:r>
      <w:r w:rsidR="002E1DC4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 Татарстане падение на 52%). Также на полигоне Республики Татарстан произошло снижение на 15% перевозки </w:t>
      </w:r>
      <w:r w:rsidR="00E73ED3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химикатов</w:t>
      </w:r>
      <w:r w:rsidR="002E1DC4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F2332" w:rsidRPr="007F2332" w:rsidRDefault="007F2332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F2332" w:rsidRPr="007F2332" w:rsidRDefault="007F2332" w:rsidP="007F2332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FF0000"/>
          <w:sz w:val="30"/>
          <w:szCs w:val="30"/>
          <w:lang w:val="en-US" w:eastAsia="ru-RU"/>
        </w:rPr>
      </w:pPr>
      <w:r w:rsidRPr="007F233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Слайд </w:t>
      </w:r>
      <w:r w:rsidRPr="007F2332">
        <w:rPr>
          <w:rFonts w:ascii="Times New Roman" w:eastAsia="Times New Roman" w:hAnsi="Times New Roman" w:cs="Times New Roman"/>
          <w:color w:val="FF0000"/>
          <w:sz w:val="30"/>
          <w:szCs w:val="30"/>
          <w:lang w:val="en-US" w:eastAsia="ru-RU"/>
        </w:rPr>
        <w:t>4</w:t>
      </w:r>
    </w:p>
    <w:p w:rsidR="00277A17" w:rsidRPr="007F2332" w:rsidRDefault="008B04A0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увеличения объемов погрузки, а также у</w:t>
      </w:r>
      <w:r w:rsidR="00277A17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читывая</w:t>
      </w: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развитие промышленного производства на</w:t>
      </w:r>
      <w:r w:rsidR="00277A17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особой экономической зоне</w:t>
      </w:r>
      <w:r w:rsidR="00277A17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proofErr w:type="spellStart"/>
      <w:r w:rsidR="00277A17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Алабуга</w:t>
      </w:r>
      <w:proofErr w:type="spellEnd"/>
      <w:r w:rsidR="00277A17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» по результатам проведенного аудита разработанной технико-экономической оценки развития железнодорожной инфраструктуры выдано заключение о необходимости строительства нового железнодорожного пути общего пользования от станции Тихоново до станции Тракторная. В настоящее время с ОАО «РЖД» прорабатыва</w:t>
      </w: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="00277A17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тся модели и схемы финансирования реализации данного проекта на условиях концессионного соглашения.</w:t>
      </w:r>
    </w:p>
    <w:p w:rsidR="00277A17" w:rsidRDefault="0005401B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277A17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целях реализации </w:t>
      </w: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инфраструктурны</w:t>
      </w:r>
      <w:r w:rsidR="00277A17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проект</w:t>
      </w:r>
      <w:r w:rsidR="00277A17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области железнодорожного транспорта</w:t>
      </w:r>
      <w:r w:rsidR="00277A17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подготовлены проекты Соглашении между ОАО РЖД и Правительством Республики Татарстан о взаимодействии и сотрудничестве, которые в ближайшее время будут подписаны и мы сможем выйти на этап практической реализации проектов.</w:t>
      </w:r>
    </w:p>
    <w:p w:rsidR="007F2332" w:rsidRPr="007F2332" w:rsidRDefault="007F2332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F2332" w:rsidRPr="004A0401" w:rsidRDefault="007F2332" w:rsidP="007F2332">
      <w:pPr>
        <w:suppressAutoHyphens/>
        <w:spacing w:after="0"/>
        <w:ind w:firstLine="708"/>
        <w:jc w:val="right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4A0401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Слайд 5</w:t>
      </w:r>
    </w:p>
    <w:p w:rsidR="00AC4713" w:rsidRPr="007F2332" w:rsidRDefault="00AC4713" w:rsidP="007F233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2332">
        <w:rPr>
          <w:rFonts w:ascii="Times New Roman" w:hAnsi="Times New Roman" w:cs="Times New Roman"/>
          <w:b/>
          <w:sz w:val="30"/>
          <w:szCs w:val="30"/>
        </w:rPr>
        <w:t>Итоги работы воздушного транспорта</w:t>
      </w:r>
    </w:p>
    <w:p w:rsidR="00AC4713" w:rsidRPr="007F2332" w:rsidRDefault="00B70483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обслуженных аэропортами пассажиров </w:t>
      </w:r>
      <w:r w:rsidR="00AC4713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первое полугодие </w:t>
      </w: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увеличился </w:t>
      </w:r>
      <w:r w:rsidR="00AC4713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7,8%, в том числе: </w:t>
      </w:r>
    </w:p>
    <w:p w:rsidR="00AC4713" w:rsidRPr="007F2332" w:rsidRDefault="00AC4713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аэропорт «Казань» - рост составил 7,2%, </w:t>
      </w:r>
    </w:p>
    <w:p w:rsidR="00AC4713" w:rsidRPr="007F2332" w:rsidRDefault="00AC4713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• аэропорт «</w:t>
      </w:r>
      <w:proofErr w:type="spellStart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Бегишево</w:t>
      </w:r>
      <w:proofErr w:type="spellEnd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- рост на 10,9%, </w:t>
      </w:r>
    </w:p>
    <w:p w:rsidR="00AC4713" w:rsidRDefault="00AC4713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• аэропорт «Бугульма» - рост на 4,5%</w:t>
      </w:r>
    </w:p>
    <w:p w:rsidR="007F2332" w:rsidRPr="007F2332" w:rsidRDefault="007F2332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F2332" w:rsidRPr="007F2332" w:rsidRDefault="007F2332" w:rsidP="007F2332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FF0000"/>
          <w:sz w:val="30"/>
          <w:szCs w:val="30"/>
          <w:lang w:val="en-US" w:eastAsia="ru-RU"/>
        </w:rPr>
      </w:pPr>
      <w:r w:rsidRPr="007F233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Слайд </w:t>
      </w:r>
      <w:r w:rsidRPr="007F2332">
        <w:rPr>
          <w:rFonts w:ascii="Times New Roman" w:eastAsia="Times New Roman" w:hAnsi="Times New Roman" w:cs="Times New Roman"/>
          <w:color w:val="FF0000"/>
          <w:sz w:val="30"/>
          <w:szCs w:val="30"/>
          <w:lang w:val="en-US" w:eastAsia="ru-RU"/>
        </w:rPr>
        <w:t>6</w:t>
      </w:r>
    </w:p>
    <w:p w:rsidR="00AC4713" w:rsidRPr="007F2332" w:rsidRDefault="00AC4713" w:rsidP="007F23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Аэропорт «</w:t>
      </w:r>
      <w:proofErr w:type="spellStart"/>
      <w:r w:rsidRPr="007F23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Бегишево</w:t>
      </w:r>
      <w:proofErr w:type="spellEnd"/>
      <w:r w:rsidRPr="007F23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</w:p>
    <w:p w:rsidR="00AC4713" w:rsidRPr="007F2332" w:rsidRDefault="00407B38" w:rsidP="007F23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В феврале приступили к строительству нового пассажирского терминала международных линий. Строительство осуществляется за счет собственных средств аэропорта. Срок завершения строительства – декабрь 2020 года.</w:t>
      </w:r>
    </w:p>
    <w:p w:rsidR="00AC4713" w:rsidRPr="007F2332" w:rsidRDefault="00AC4713" w:rsidP="007F23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рамках работы по развитию и расширению географии полетов в первом полугодии</w:t>
      </w:r>
      <w:r w:rsidR="00B70483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открыты</w:t>
      </w: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B70483" w:rsidRPr="007F2332" w:rsidRDefault="00AC4713" w:rsidP="007F23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</w:t>
      </w:r>
      <w:r w:rsidR="00B70483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субсидируемые </w:t>
      </w: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регулярные авиарейсы по маршрутам Нижнекамск-Краснодар и Нижнекамск-Ростов с частотой выполнения 2 раза в неделю на ВС </w:t>
      </w:r>
      <w:proofErr w:type="spellStart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Sukhoi</w:t>
      </w:r>
      <w:proofErr w:type="spellEnd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Superjet</w:t>
      </w:r>
      <w:proofErr w:type="spellEnd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100 авиакомпании «Азимут».</w:t>
      </w:r>
    </w:p>
    <w:p w:rsidR="00AC4713" w:rsidRPr="007F2332" w:rsidRDefault="00B70483" w:rsidP="007F23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</w:t>
      </w:r>
      <w:r w:rsidR="00AC4713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чартерный рейс в Дубай (ОАЭ).</w:t>
      </w:r>
    </w:p>
    <w:p w:rsidR="00AC4713" w:rsidRPr="007F2332" w:rsidRDefault="00AC4713" w:rsidP="007F23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открыта </w:t>
      </w:r>
      <w:proofErr w:type="spellStart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интермодальная</w:t>
      </w:r>
      <w:proofErr w:type="spellEnd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(АВИ</w:t>
      </w:r>
      <w:r w:rsidR="00B70483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+АВТО) перевозка </w:t>
      </w:r>
      <w:proofErr w:type="gramStart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пассажиров  по</w:t>
      </w:r>
      <w:proofErr w:type="gramEnd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маршруту Москва-Ижевск. Перевозку осуществляют две авиакомпании «Победа» и «</w:t>
      </w:r>
      <w:proofErr w:type="spellStart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Nordwind</w:t>
      </w:r>
      <w:proofErr w:type="spellEnd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Airlines</w:t>
      </w:r>
      <w:proofErr w:type="spellEnd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AC4713" w:rsidRDefault="00AC4713" w:rsidP="007F23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Увеличено количество регулярных рейсов в Сочи</w:t>
      </w:r>
      <w:r w:rsidR="00B70483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до 5 рейсов в </w:t>
      </w:r>
      <w:proofErr w:type="gramStart"/>
      <w:r w:rsidR="00B70483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неделю, </w:t>
      </w: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</w:t>
      </w:r>
      <w:proofErr w:type="gramEnd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Санкт-Петербург</w:t>
      </w:r>
      <w:r w:rsidR="00B70483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до 4 рейсов в неделю.</w:t>
      </w:r>
    </w:p>
    <w:p w:rsidR="007F2332" w:rsidRPr="007F2332" w:rsidRDefault="007F2332" w:rsidP="007F23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F2332" w:rsidRPr="007F2332" w:rsidRDefault="007F2332" w:rsidP="007F2332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FF0000"/>
          <w:sz w:val="30"/>
          <w:szCs w:val="30"/>
          <w:lang w:val="en-US" w:eastAsia="ru-RU"/>
        </w:rPr>
      </w:pPr>
      <w:r w:rsidRPr="007F233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Слайд </w:t>
      </w:r>
      <w:r w:rsidRPr="007F2332">
        <w:rPr>
          <w:rFonts w:ascii="Times New Roman" w:eastAsia="Times New Roman" w:hAnsi="Times New Roman" w:cs="Times New Roman"/>
          <w:color w:val="FF0000"/>
          <w:sz w:val="30"/>
          <w:szCs w:val="30"/>
          <w:lang w:val="en-US" w:eastAsia="ru-RU"/>
        </w:rPr>
        <w:t>7</w:t>
      </w:r>
    </w:p>
    <w:p w:rsidR="00AC4713" w:rsidRPr="007F2332" w:rsidRDefault="00AC4713" w:rsidP="007F23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Международный аэропорт «Казань». </w:t>
      </w:r>
    </w:p>
    <w:p w:rsidR="00AC4713" w:rsidRPr="007F2332" w:rsidRDefault="00AC4713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2019 году в международном аэропорту «Казань» были открыты </w:t>
      </w:r>
      <w:r w:rsidR="00D75B33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маршруты в </w:t>
      </w:r>
      <w:proofErr w:type="spellStart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Сань</w:t>
      </w:r>
      <w:r w:rsidR="00D75B33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proofErr w:type="spellEnd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(Китай), </w:t>
      </w:r>
      <w:proofErr w:type="spellStart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Увд</w:t>
      </w:r>
      <w:r w:rsidR="00D75B33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proofErr w:type="spellEnd"/>
      <w:r w:rsidR="00D75B33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, новые субсидируемые маршруты</w:t>
      </w: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75B33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Астрахань </w:t>
      </w:r>
      <w:r w:rsidR="00D75B33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D75B33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алуга.</w:t>
      </w:r>
    </w:p>
    <w:p w:rsidR="00AC4713" w:rsidRPr="007F2332" w:rsidRDefault="00AC4713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30 октября 2019 планируется запуск рейса венгерской авиакомпанией </w:t>
      </w:r>
      <w:proofErr w:type="spellStart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Wizz</w:t>
      </w:r>
      <w:proofErr w:type="spellEnd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Air</w:t>
      </w:r>
      <w:proofErr w:type="spellEnd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маршруту Будапешт – Казань – Будапешт.</w:t>
      </w:r>
    </w:p>
    <w:p w:rsidR="00AC4713" w:rsidRPr="007F2332" w:rsidRDefault="00AC4713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31 октября 2019 планируется запуск рейса авиакомпанией Азур Эйр в Доминиканскую Республику, Казань – Ла Романа.</w:t>
      </w:r>
    </w:p>
    <w:p w:rsidR="007F2332" w:rsidRPr="007F2332" w:rsidRDefault="007F2332" w:rsidP="007F2332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Слайд </w:t>
      </w:r>
      <w:r w:rsidRPr="007F233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8</w:t>
      </w:r>
    </w:p>
    <w:p w:rsidR="00AC4713" w:rsidRPr="007F2332" w:rsidRDefault="00AC4713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Базовый перевозчик республики- авиакомпания «ЮВТ АЭРО» за 1-ое полугодие 2019 г. увеличила свою маршрутную сеть из Казани новыми прямыми рейсами: из Казани в Астрахань, Волгоград, Горно-</w:t>
      </w:r>
      <w:proofErr w:type="spellStart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Алайск</w:t>
      </w:r>
      <w:proofErr w:type="spellEnd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, Усинск, из Бугульмы в Нарьян-Мар, Усинск.</w:t>
      </w:r>
    </w:p>
    <w:p w:rsidR="00AC4713" w:rsidRPr="007F2332" w:rsidRDefault="00AC4713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 в 2019 году авиакомпанией была расширена маршрутная сеть </w:t>
      </w:r>
    </w:p>
    <w:p w:rsidR="00AC4713" w:rsidRPr="007F2332" w:rsidRDefault="00AC4713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из</w:t>
      </w:r>
      <w:proofErr w:type="gramEnd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аэропорта г. Челябинска – в такие направления как Красноярск, Нижневартовск, Новый Уренгой, Ростов-на -Дону, Сургут, Самару, Анапу и Геленджик.    </w:t>
      </w:r>
    </w:p>
    <w:p w:rsidR="00AC4713" w:rsidRPr="007F2332" w:rsidRDefault="00AC4713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сегодняшний день авиакомпания выполняет полеты по 66 маршрутам, в том числе 25 из Казани и 7 из Бугульмы. </w:t>
      </w:r>
      <w:r w:rsidR="00D75B33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Объемы перевозок з</w:t>
      </w: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первое полугодие 2019 года </w:t>
      </w:r>
      <w:r w:rsidR="00D75B33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увеличились</w:t>
      </w: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6% </w:t>
      </w:r>
      <w:r w:rsidR="00D75B33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сравнению с аналогичным периодом 2018 года</w:t>
      </w: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C4713" w:rsidRPr="007F2332" w:rsidRDefault="00AC4713" w:rsidP="007F2332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4713" w:rsidRPr="007F2332" w:rsidRDefault="00AC4713" w:rsidP="007F23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Аэропорт «Бугульма»</w:t>
      </w:r>
    </w:p>
    <w:p w:rsidR="00AC4713" w:rsidRPr="007F2332" w:rsidRDefault="00AC4713" w:rsidP="007F23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настоящее время осуществляется работа по подготовке проекта строительства новой взлетно-посадочной </w:t>
      </w:r>
      <w:r w:rsidR="00407B38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полосы</w:t>
      </w: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C4713" w:rsidRPr="007F2332" w:rsidRDefault="00AC4713" w:rsidP="007F23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перво</w:t>
      </w:r>
      <w:r w:rsidR="00D75B33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полугоди</w:t>
      </w:r>
      <w:r w:rsidR="00D75B33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2019 года из аэропорта «Бугульма» выполнялись регулярные субсидируемые рейсы в Нижневартовск, Сургут, Новый Уренгой, Ноябрьск, а так же регулярный рейс в Москву (с частотой 4 рейса в неделю).</w:t>
      </w:r>
    </w:p>
    <w:p w:rsidR="00AC4713" w:rsidRDefault="00D75B33" w:rsidP="007F2332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С 10 июня</w:t>
      </w:r>
      <w:r w:rsidR="00AC4713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открыт субсидируемый рейс по новому направлению Бугульма - Нарьян-Мар.</w:t>
      </w:r>
    </w:p>
    <w:p w:rsidR="007F2332" w:rsidRPr="007F2332" w:rsidRDefault="007F2332" w:rsidP="007F2332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F2332" w:rsidRPr="007F2332" w:rsidRDefault="007F2332" w:rsidP="007F2332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Слайд </w:t>
      </w:r>
      <w:r w:rsidRPr="007F233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9</w:t>
      </w:r>
    </w:p>
    <w:p w:rsidR="00AC4713" w:rsidRPr="007F2332" w:rsidRDefault="00AC4713" w:rsidP="007F233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2332">
        <w:rPr>
          <w:rFonts w:ascii="Times New Roman" w:hAnsi="Times New Roman" w:cs="Times New Roman"/>
          <w:b/>
          <w:sz w:val="30"/>
          <w:szCs w:val="30"/>
        </w:rPr>
        <w:t>Итоги работы водного транспорта</w:t>
      </w:r>
    </w:p>
    <w:p w:rsidR="00AC4713" w:rsidRPr="007F2332" w:rsidRDefault="00AC4713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 значимые пассажирские перевозки в пригородном сообщении осуществляются судоходными компаниями «</w:t>
      </w:r>
      <w:proofErr w:type="spellStart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Татфлот</w:t>
      </w:r>
      <w:proofErr w:type="spellEnd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» и «Производственное объединение нерудных материалов».</w:t>
      </w:r>
    </w:p>
    <w:p w:rsidR="00AC4713" w:rsidRPr="007F2332" w:rsidRDefault="00D75B33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Объемы пассажирских перевозок</w:t>
      </w:r>
      <w:r w:rsidR="00AC4713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="00AC4713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внутренне</w:t>
      </w: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AC4713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водно</w:t>
      </w: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AC4713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транспорт</w:t>
      </w: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AC4713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первом полугодии 2019 года </w:t>
      </w: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упали на 8 </w:t>
      </w:r>
      <w:r w:rsidR="00AC4713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AC4713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Причина в том, что в целях обеспечения безопасности перевозок пассажиров в период навигации </w:t>
      </w:r>
      <w:r w:rsidR="00AC4713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вводились временные ограничения перевозок на подходах к отдельным остановочным пунктам по причине низкого уровня воды в Куйбышевском водохранилище. </w:t>
      </w:r>
    </w:p>
    <w:p w:rsidR="00AC4713" w:rsidRDefault="00AC4713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Компенсация из бюджета Республики Татарстан </w:t>
      </w:r>
      <w:r w:rsidR="00D75B33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возмещение выпадающих доходов, связанных с применением регулируемых тарифов и предоставлением льгот отдельным категориям граждан </w:t>
      </w: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первое полугодие составила 44,5 </w:t>
      </w:r>
      <w:proofErr w:type="spellStart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млн.рублей</w:t>
      </w:r>
      <w:proofErr w:type="spellEnd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F2332" w:rsidRPr="007F2332" w:rsidRDefault="007F2332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F2332" w:rsidRPr="007F2332" w:rsidRDefault="007F2332" w:rsidP="007F2332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Слайд </w:t>
      </w:r>
      <w:r w:rsidRPr="007F233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10</w:t>
      </w:r>
    </w:p>
    <w:p w:rsidR="00AC4713" w:rsidRPr="007F2332" w:rsidRDefault="00AC4713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 июля 2019 года между Федеральным агентством морского и речного транспорта и Кабинетом Министров Республики Татарстан заключено Соглашение о предоставлении в 2019 году субсидии федеральному бюджету из бюджета Республики Татарстан на </w:t>
      </w:r>
      <w:proofErr w:type="spellStart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софинансирование</w:t>
      </w:r>
      <w:proofErr w:type="spellEnd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расходных обязательств Российской Федерации в части содержания судовых ходов и инфраструктуры внутренних водных путей, расположенных в границах Республики Татарстан на следующих участках:</w:t>
      </w:r>
    </w:p>
    <w:p w:rsidR="00AC4713" w:rsidRPr="007F2332" w:rsidRDefault="00AC4713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– Куйбышевское водохранилище, подход к туристическому причалу Болгар, протяженностью 11 км;</w:t>
      </w:r>
    </w:p>
    <w:p w:rsidR="00AC4713" w:rsidRPr="007F2332" w:rsidRDefault="00AC4713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река </w:t>
      </w:r>
      <w:proofErr w:type="spellStart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Свияга</w:t>
      </w:r>
      <w:proofErr w:type="spellEnd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подход к причалу острова Свияжск, протяженностью 8 км.</w:t>
      </w:r>
    </w:p>
    <w:p w:rsidR="007F2332" w:rsidRPr="007F2332" w:rsidRDefault="007F2332" w:rsidP="007F2332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7F2332" w:rsidRPr="007F2332" w:rsidRDefault="007F2332" w:rsidP="007F2332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Слайд </w:t>
      </w:r>
      <w:r w:rsidRPr="007F233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11</w:t>
      </w:r>
    </w:p>
    <w:p w:rsidR="00AD65F8" w:rsidRPr="007F2332" w:rsidRDefault="00AD65F8" w:rsidP="007F233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2332">
        <w:rPr>
          <w:rFonts w:ascii="Times New Roman" w:hAnsi="Times New Roman" w:cs="Times New Roman"/>
          <w:b/>
          <w:sz w:val="30"/>
          <w:szCs w:val="30"/>
        </w:rPr>
        <w:t>Итоги работы автомобильного транспорта.</w:t>
      </w:r>
    </w:p>
    <w:p w:rsidR="002036EB" w:rsidRDefault="00AD65F8" w:rsidP="007F2332">
      <w:pPr>
        <w:pStyle w:val="a6"/>
        <w:spacing w:before="0" w:beforeAutospacing="0" w:after="0" w:afterAutospacing="0" w:line="360" w:lineRule="auto"/>
        <w:ind w:firstLine="708"/>
        <w:jc w:val="both"/>
        <w:rPr>
          <w:sz w:val="30"/>
          <w:szCs w:val="30"/>
        </w:rPr>
      </w:pPr>
      <w:r w:rsidRPr="007F2332">
        <w:rPr>
          <w:sz w:val="30"/>
          <w:szCs w:val="30"/>
        </w:rPr>
        <w:t>По предварительным данным грузооборот автомобильног</w:t>
      </w:r>
      <w:r w:rsidR="00DE3682" w:rsidRPr="007F2332">
        <w:rPr>
          <w:sz w:val="30"/>
          <w:szCs w:val="30"/>
        </w:rPr>
        <w:t>о транспорта за I полугодие 2019</w:t>
      </w:r>
      <w:r w:rsidRPr="007F2332">
        <w:rPr>
          <w:sz w:val="30"/>
          <w:szCs w:val="30"/>
        </w:rPr>
        <w:t xml:space="preserve"> </w:t>
      </w:r>
      <w:r w:rsidR="00A43F70" w:rsidRPr="007F2332">
        <w:rPr>
          <w:sz w:val="30"/>
          <w:szCs w:val="30"/>
        </w:rPr>
        <w:t xml:space="preserve">года </w:t>
      </w:r>
      <w:r w:rsidR="002036EB" w:rsidRPr="007F2332">
        <w:rPr>
          <w:sz w:val="30"/>
          <w:szCs w:val="30"/>
        </w:rPr>
        <w:t>уменьшился</w:t>
      </w:r>
      <w:r w:rsidR="00722F85" w:rsidRPr="007F2332">
        <w:rPr>
          <w:sz w:val="30"/>
          <w:szCs w:val="30"/>
        </w:rPr>
        <w:t xml:space="preserve"> на </w:t>
      </w:r>
      <w:r w:rsidR="00A43F70" w:rsidRPr="007F2332">
        <w:rPr>
          <w:sz w:val="30"/>
          <w:szCs w:val="30"/>
        </w:rPr>
        <w:t>4,8</w:t>
      </w:r>
      <w:r w:rsidR="00722F85" w:rsidRPr="007F2332">
        <w:rPr>
          <w:sz w:val="30"/>
          <w:szCs w:val="30"/>
        </w:rPr>
        <w:t>%.</w:t>
      </w:r>
      <w:r w:rsidR="002036EB" w:rsidRPr="007F2332">
        <w:rPr>
          <w:sz w:val="30"/>
          <w:szCs w:val="30"/>
        </w:rPr>
        <w:t xml:space="preserve"> Падение объемов перевозок обусловлено общей экономической ситуацией в стране. Основными причинами спада на рынке автоперевозок стали: падение импорта и сокращение оборота розничной торговли, снижение промышленного производства. Как следствие все это привело к уменьшению заказов на перевозку со стороны крупных и средних предприятий республики.</w:t>
      </w:r>
    </w:p>
    <w:p w:rsidR="007F2332" w:rsidRPr="007F2332" w:rsidRDefault="007F2332" w:rsidP="007F2332">
      <w:pPr>
        <w:pStyle w:val="a6"/>
        <w:spacing w:before="0" w:beforeAutospacing="0" w:after="0" w:afterAutospacing="0" w:line="360" w:lineRule="auto"/>
        <w:ind w:firstLine="708"/>
        <w:jc w:val="both"/>
        <w:rPr>
          <w:sz w:val="30"/>
          <w:szCs w:val="30"/>
        </w:rPr>
      </w:pPr>
    </w:p>
    <w:p w:rsidR="007F2332" w:rsidRPr="007F2332" w:rsidRDefault="007F2332" w:rsidP="007F2332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lastRenderedPageBreak/>
        <w:t xml:space="preserve">Слайд </w:t>
      </w:r>
      <w:r w:rsidRPr="007F233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12</w:t>
      </w:r>
    </w:p>
    <w:p w:rsidR="00AD65F8" w:rsidRPr="007F2332" w:rsidRDefault="00DE3682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За I полугодие 2019</w:t>
      </w:r>
      <w:r w:rsidR="00AD65F8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пассажирскими автотранспортными предпри</w:t>
      </w: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ятиями перевезено пассажиров на 0,5</w:t>
      </w:r>
      <w:r w:rsidR="00AD65F8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% больше уровня прошлого года.</w:t>
      </w:r>
    </w:p>
    <w:p w:rsidR="00AD65F8" w:rsidRPr="007F2332" w:rsidRDefault="002036EB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AD65F8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оличество подвижного состава </w:t>
      </w: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увеличилось на 242 единицы, </w:t>
      </w:r>
      <w:r w:rsidR="00E01DFF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маршрутов регулярных перевозок возросло на 122 </w:t>
      </w:r>
      <w:r w:rsidR="00DE3682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маршрут</w:t>
      </w:r>
      <w:r w:rsidR="00E01DFF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а, в первую очередь за счет открытия в 2018 году субсидируемых пригородных сельских маршрутов (120 маршрутов)</w:t>
      </w:r>
      <w:r w:rsidR="00AD65F8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7F2332" w:rsidRPr="007F2332" w:rsidRDefault="007F2332" w:rsidP="007F2332">
      <w:pPr>
        <w:pStyle w:val="ConsPlusNormal"/>
        <w:spacing w:line="36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</w:p>
    <w:p w:rsidR="007F2332" w:rsidRPr="007F2332" w:rsidRDefault="007F2332" w:rsidP="007F2332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Слайд </w:t>
      </w:r>
      <w:r w:rsidRPr="007F233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13</w:t>
      </w:r>
    </w:p>
    <w:p w:rsidR="00DE3682" w:rsidRPr="007F2332" w:rsidRDefault="00CF3E26" w:rsidP="007F2332">
      <w:pPr>
        <w:pStyle w:val="ConsPlusNormal"/>
        <w:spacing w:line="360" w:lineRule="auto"/>
        <w:ind w:firstLine="708"/>
        <w:jc w:val="both"/>
        <w:rPr>
          <w:sz w:val="30"/>
          <w:szCs w:val="30"/>
        </w:rPr>
      </w:pPr>
      <w:r w:rsidRPr="007F2332">
        <w:rPr>
          <w:rFonts w:eastAsia="Times New Roman"/>
          <w:sz w:val="30"/>
          <w:szCs w:val="30"/>
          <w:lang w:eastAsia="ru-RU"/>
        </w:rPr>
        <w:t>В ц</w:t>
      </w:r>
      <w:r w:rsidR="00DE3682" w:rsidRPr="007F2332">
        <w:rPr>
          <w:rFonts w:eastAsia="Times New Roman"/>
          <w:sz w:val="30"/>
          <w:szCs w:val="30"/>
          <w:lang w:eastAsia="ru-RU"/>
        </w:rPr>
        <w:t>елях государственной поддержи</w:t>
      </w:r>
      <w:r w:rsidR="00E01DFF" w:rsidRPr="007F2332">
        <w:rPr>
          <w:rFonts w:eastAsia="Times New Roman"/>
          <w:sz w:val="30"/>
          <w:szCs w:val="30"/>
          <w:lang w:eastAsia="ru-RU"/>
        </w:rPr>
        <w:t>,</w:t>
      </w:r>
      <w:r w:rsidR="00DE3682" w:rsidRPr="007F2332">
        <w:rPr>
          <w:rFonts w:eastAsia="Times New Roman"/>
          <w:sz w:val="30"/>
          <w:szCs w:val="30"/>
          <w:lang w:eastAsia="ru-RU"/>
        </w:rPr>
        <w:t xml:space="preserve"> </w:t>
      </w:r>
      <w:r w:rsidR="00E01DFF" w:rsidRPr="007F2332">
        <w:rPr>
          <w:sz w:val="30"/>
          <w:szCs w:val="30"/>
        </w:rPr>
        <w:t>перевозчикам предоставлены</w:t>
      </w:r>
      <w:r w:rsidR="00330020" w:rsidRPr="007F2332">
        <w:rPr>
          <w:sz w:val="30"/>
          <w:szCs w:val="30"/>
        </w:rPr>
        <w:t xml:space="preserve"> субсидии из бюджета Республики Татарстан </w:t>
      </w:r>
      <w:r w:rsidR="00E01DFF" w:rsidRPr="007F2332">
        <w:rPr>
          <w:sz w:val="30"/>
          <w:szCs w:val="30"/>
        </w:rPr>
        <w:t>возмещение</w:t>
      </w:r>
      <w:r w:rsidR="00330020" w:rsidRPr="007F2332">
        <w:rPr>
          <w:sz w:val="30"/>
          <w:szCs w:val="30"/>
        </w:rPr>
        <w:t xml:space="preserve"> части затрат, связанных с приобретением туристических автобусов для организации транспортного обслуживания населения по межмуниципальным маршрутам регулярных перевозок на территории Республики Татарстан.</w:t>
      </w:r>
      <w:r w:rsidR="00E01DFF" w:rsidRPr="007F2332">
        <w:rPr>
          <w:sz w:val="30"/>
          <w:szCs w:val="30"/>
        </w:rPr>
        <w:t xml:space="preserve"> </w:t>
      </w:r>
    </w:p>
    <w:p w:rsidR="00B16A76" w:rsidRPr="007F2332" w:rsidRDefault="00B16A76" w:rsidP="007F2332">
      <w:pPr>
        <w:pStyle w:val="ConsPlusNormal"/>
        <w:spacing w:line="360" w:lineRule="auto"/>
        <w:ind w:firstLine="708"/>
        <w:jc w:val="both"/>
        <w:rPr>
          <w:sz w:val="30"/>
          <w:szCs w:val="30"/>
        </w:rPr>
      </w:pPr>
      <w:r w:rsidRPr="007F2332">
        <w:rPr>
          <w:sz w:val="30"/>
          <w:szCs w:val="30"/>
        </w:rPr>
        <w:t>Предприятиями приобретено 80 комфортабельных автобусов большой вместимости (более 50 мест).</w:t>
      </w:r>
      <w:r w:rsidR="00E01DFF" w:rsidRPr="007F2332">
        <w:rPr>
          <w:sz w:val="30"/>
          <w:szCs w:val="30"/>
        </w:rPr>
        <w:t xml:space="preserve"> Объем господдержки составил 200 </w:t>
      </w:r>
      <w:proofErr w:type="spellStart"/>
      <w:r w:rsidR="00E01DFF" w:rsidRPr="007F2332">
        <w:rPr>
          <w:sz w:val="30"/>
          <w:szCs w:val="30"/>
        </w:rPr>
        <w:t>млн.рублей</w:t>
      </w:r>
      <w:proofErr w:type="spellEnd"/>
      <w:r w:rsidR="00E01DFF" w:rsidRPr="007F2332">
        <w:rPr>
          <w:sz w:val="30"/>
          <w:szCs w:val="30"/>
        </w:rPr>
        <w:t>.</w:t>
      </w:r>
    </w:p>
    <w:p w:rsidR="007F2332" w:rsidRPr="007F2332" w:rsidRDefault="007F2332" w:rsidP="007F2332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7F2332" w:rsidRPr="007F2332" w:rsidRDefault="007F2332" w:rsidP="007F2332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Слайд </w:t>
      </w:r>
      <w:r w:rsidRPr="007F233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14</w:t>
      </w:r>
    </w:p>
    <w:p w:rsidR="00B8018D" w:rsidRPr="007F2332" w:rsidRDefault="00B8018D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Проинформирую о нововведениях этого года:</w:t>
      </w:r>
    </w:p>
    <w:p w:rsidR="001B16A1" w:rsidRPr="007F2332" w:rsidRDefault="001B16A1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С 29 июня вступил в полную силу федеральный закон «О лицензировании перевозок пассажиров и иных лиц автобусами». Теперь перевозки без лицензии и на автобусах не включенных в соответствующий реестр запрещены.</w:t>
      </w:r>
    </w:p>
    <w:p w:rsidR="001B16A1" w:rsidRPr="007F2332" w:rsidRDefault="001B16A1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части межмуниципальных перевозок все перевозчики получили соответствующие лицензии, поэтому сбоев в транспортном обслуживании не возникнет. </w:t>
      </w:r>
    </w:p>
    <w:p w:rsidR="001B16A1" w:rsidRDefault="001B16A1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Озабоченность вызывает положение дел с лицензированием учебных заведений, спортшкол, детских лагерей. Не за горами новый учебный год, прошу руководителей министерств и ведомств взять на этот вопрос на особый контроль. </w:t>
      </w:r>
    </w:p>
    <w:p w:rsidR="007F2332" w:rsidRPr="007F2332" w:rsidRDefault="007F2332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F2332" w:rsidRPr="007F2332" w:rsidRDefault="007F2332" w:rsidP="007F2332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lastRenderedPageBreak/>
        <w:t xml:space="preserve">Слайд </w:t>
      </w:r>
      <w:r w:rsidRPr="007F233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1</w:t>
      </w:r>
      <w:r w:rsidRPr="007F233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5</w:t>
      </w:r>
    </w:p>
    <w:p w:rsidR="00B8018D" w:rsidRDefault="00B8018D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С 1 июля вступили в действие поправки в федеральный закон «О применении контрольно-кассовой техники» в части ее применения при осуществлении пассажирских перевозок. Прошу перевозчиков обеспечить неукоснительное выполнение данных требований.</w:t>
      </w:r>
    </w:p>
    <w:p w:rsidR="007F2332" w:rsidRPr="007F2332" w:rsidRDefault="007F2332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F2332" w:rsidRPr="007F2332" w:rsidRDefault="007F2332" w:rsidP="007F2332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Слайд </w:t>
      </w:r>
      <w:r w:rsidRPr="007F233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16</w:t>
      </w:r>
    </w:p>
    <w:p w:rsidR="00330020" w:rsidRPr="007F2332" w:rsidRDefault="001B16A1" w:rsidP="007F2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1 января 2020 года вступает в силу Закон </w:t>
      </w:r>
      <w:r w:rsidR="001E7566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еспублики Татарстан</w:t>
      </w:r>
      <w:r w:rsidR="001E7566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r w:rsidR="001E7566" w:rsidRPr="007F2332">
        <w:rPr>
          <w:rFonts w:ascii="Times New Roman" w:hAnsi="Times New Roman" w:cs="Times New Roman"/>
          <w:sz w:val="30"/>
          <w:szCs w:val="30"/>
        </w:rPr>
        <w:t>О наделении органов местного самоуправления муниципальных образований в Республике Татарстан отдельными государственными полномочиями в сфере обеспечения равной доступности услуг общественного транспорта на территории Республики Татарстан для отдельных категорий граждан», в настоящее время он действует только в отношении города Казани.</w:t>
      </w:r>
      <w:r w:rsidR="00CF3E26" w:rsidRPr="007F233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E7566" w:rsidRDefault="00330020" w:rsidP="007F2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2332">
        <w:rPr>
          <w:rFonts w:ascii="Times New Roman" w:hAnsi="Times New Roman" w:cs="Times New Roman"/>
          <w:sz w:val="30"/>
          <w:szCs w:val="30"/>
        </w:rPr>
        <w:t>Органы местного самоуправления, являющиеся заказчиками перевозок по муниципальным маршрутам и осуществляющие контроль за их выполнением, будут наделены государственными полномочиями по расчету и предоставлению транспортным организациям компенсаций расходов, понесенных в связи с оказанием услуг общественного транспорта отдельным категориям граждан, что усилит их позиции в качестве заказчика перевозок.</w:t>
      </w:r>
    </w:p>
    <w:p w:rsidR="007F2332" w:rsidRPr="007F2332" w:rsidRDefault="007F2332" w:rsidP="007F2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2332" w:rsidRPr="007F2332" w:rsidRDefault="007F2332" w:rsidP="007F2332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Слайд </w:t>
      </w:r>
      <w:r w:rsidRPr="007F233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17</w:t>
      </w:r>
    </w:p>
    <w:p w:rsidR="001B16A1" w:rsidRPr="007F2332" w:rsidRDefault="00CF3E26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="001B16A1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 января 2020 годы действие льготной электронной транспортной карты будет распространено на всю республику. </w:t>
      </w:r>
    </w:p>
    <w:p w:rsidR="00330020" w:rsidRPr="007F2332" w:rsidRDefault="001B16A1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сегодняшний день данный функционал был доступен только в 5 городах республики: Казань, Набережные Челны, Нижнекамск, Альметьевск, Зеленодольск.</w:t>
      </w:r>
      <w:r w:rsidR="00E01DFF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Динамика применения приведена на слайде.</w:t>
      </w:r>
    </w:p>
    <w:p w:rsidR="001B16A1" w:rsidRDefault="00EF1077" w:rsidP="007F2332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2332">
        <w:rPr>
          <w:rFonts w:ascii="Times New Roman" w:hAnsi="Times New Roman" w:cs="Times New Roman"/>
          <w:sz w:val="30"/>
          <w:szCs w:val="30"/>
        </w:rPr>
        <w:t xml:space="preserve">Для запуска автоматизированного учёта оплаты проезда в 40 районах республики </w:t>
      </w:r>
      <w:r w:rsidR="00E01DFF" w:rsidRPr="007F2332">
        <w:rPr>
          <w:rFonts w:ascii="Times New Roman" w:hAnsi="Times New Roman" w:cs="Times New Roman"/>
          <w:sz w:val="30"/>
          <w:szCs w:val="30"/>
        </w:rPr>
        <w:t>муниципалитетами будет</w:t>
      </w:r>
      <w:r w:rsidRPr="007F2332">
        <w:rPr>
          <w:rFonts w:ascii="Times New Roman" w:hAnsi="Times New Roman" w:cs="Times New Roman"/>
          <w:sz w:val="30"/>
          <w:szCs w:val="30"/>
        </w:rPr>
        <w:t xml:space="preserve"> определен оператор системы</w:t>
      </w:r>
      <w:r w:rsidR="00E01DFF" w:rsidRPr="007F2332">
        <w:rPr>
          <w:rFonts w:ascii="Times New Roman" w:hAnsi="Times New Roman" w:cs="Times New Roman"/>
          <w:sz w:val="30"/>
          <w:szCs w:val="30"/>
        </w:rPr>
        <w:t xml:space="preserve"> и </w:t>
      </w:r>
      <w:r w:rsidRPr="007F2332">
        <w:rPr>
          <w:rFonts w:ascii="Times New Roman" w:hAnsi="Times New Roman" w:cs="Times New Roman"/>
          <w:sz w:val="30"/>
          <w:szCs w:val="30"/>
        </w:rPr>
        <w:t>организ</w:t>
      </w:r>
      <w:r w:rsidR="00E01DFF" w:rsidRPr="007F2332">
        <w:rPr>
          <w:rFonts w:ascii="Times New Roman" w:hAnsi="Times New Roman" w:cs="Times New Roman"/>
          <w:sz w:val="30"/>
          <w:szCs w:val="30"/>
        </w:rPr>
        <w:t>ован</w:t>
      </w:r>
      <w:r w:rsidRPr="007F2332">
        <w:rPr>
          <w:rFonts w:ascii="Times New Roman" w:hAnsi="Times New Roman" w:cs="Times New Roman"/>
          <w:sz w:val="30"/>
          <w:szCs w:val="30"/>
        </w:rPr>
        <w:t xml:space="preserve"> прием заявлений на оформление и выдачу электронных карт с льготным транспортным приложением в</w:t>
      </w:r>
      <w:r w:rsidR="00EE5E32" w:rsidRPr="007F2332">
        <w:rPr>
          <w:rFonts w:ascii="Times New Roman" w:hAnsi="Times New Roman" w:cs="Times New Roman"/>
          <w:sz w:val="30"/>
          <w:szCs w:val="30"/>
        </w:rPr>
        <w:t xml:space="preserve"> том числе в</w:t>
      </w:r>
      <w:r w:rsidRPr="007F2332">
        <w:rPr>
          <w:rFonts w:ascii="Times New Roman" w:hAnsi="Times New Roman" w:cs="Times New Roman"/>
          <w:sz w:val="30"/>
          <w:szCs w:val="30"/>
        </w:rPr>
        <w:t xml:space="preserve"> многофункциональных </w:t>
      </w:r>
      <w:r w:rsidRPr="007F2332">
        <w:rPr>
          <w:rFonts w:ascii="Times New Roman" w:hAnsi="Times New Roman" w:cs="Times New Roman"/>
          <w:sz w:val="30"/>
          <w:szCs w:val="30"/>
        </w:rPr>
        <w:lastRenderedPageBreak/>
        <w:t xml:space="preserve">центрах предоставления государственных и муниципальных услуг, расположенных на территории указанных муниципальных образований. </w:t>
      </w:r>
    </w:p>
    <w:p w:rsidR="007F2332" w:rsidRPr="007F2332" w:rsidRDefault="007F2332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F2332" w:rsidRPr="007F2332" w:rsidRDefault="007F2332" w:rsidP="007F2332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Слайд </w:t>
      </w:r>
      <w:r w:rsidRPr="007F233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19</w:t>
      </w:r>
    </w:p>
    <w:p w:rsidR="00AD65F8" w:rsidRPr="007F2332" w:rsidRDefault="00AD65F8" w:rsidP="007F23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Итоги работы предприятий городского электрического транспорта</w:t>
      </w:r>
    </w:p>
    <w:p w:rsidR="00AD65F8" w:rsidRPr="007F2332" w:rsidRDefault="00AD65F8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перевезенных пассажиров городским электрическим</w:t>
      </w:r>
      <w:r w:rsidR="00EF1077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транспортом </w:t>
      </w: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сравнении с аналогичным периодом прошлого года </w:t>
      </w:r>
      <w:r w:rsidR="00EE5E32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увеличился</w:t>
      </w:r>
      <w:r w:rsidR="00EF1077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3,</w:t>
      </w:r>
      <w:r w:rsidR="00EE5E32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  <w:r w:rsidR="00EE5E32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Пассажирооборот на </w:t>
      </w:r>
      <w:r w:rsidR="00585719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1,</w:t>
      </w:r>
      <w:r w:rsidR="00EE5E32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585719" w:rsidRPr="007F2332" w:rsidRDefault="00585719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Во второй половине 2019 года запланировано обновление электрического транспорта гг. Казань, Набережные Челны и Нижнекамск.</w:t>
      </w:r>
    </w:p>
    <w:p w:rsidR="00585719" w:rsidRDefault="00585719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Принято решение о приобретении </w:t>
      </w:r>
      <w:r w:rsidRPr="007F2332">
        <w:rPr>
          <w:rFonts w:ascii="Times New Roman" w:hAnsi="Times New Roman" w:cs="Times New Roman"/>
          <w:sz w:val="30"/>
          <w:szCs w:val="30"/>
        </w:rPr>
        <w:t xml:space="preserve">1 поезда метрополитена, 5 единиц односекционных трамваев и 15 единиц троллейбусов для г. Казани, и по </w:t>
      </w:r>
      <w:r w:rsidR="00B16A76" w:rsidRPr="007F2332">
        <w:rPr>
          <w:rFonts w:ascii="Times New Roman" w:hAnsi="Times New Roman" w:cs="Times New Roman"/>
          <w:sz w:val="30"/>
          <w:szCs w:val="30"/>
        </w:rPr>
        <w:t>5</w:t>
      </w:r>
      <w:r w:rsidRPr="007F2332">
        <w:rPr>
          <w:rFonts w:ascii="Times New Roman" w:hAnsi="Times New Roman" w:cs="Times New Roman"/>
          <w:sz w:val="30"/>
          <w:szCs w:val="30"/>
        </w:rPr>
        <w:t xml:space="preserve"> единиц односекционных трамваев для обслуживания населения гг. </w:t>
      </w: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Набережные Челны и Нижнекамск.</w:t>
      </w:r>
    </w:p>
    <w:p w:rsidR="007F2332" w:rsidRPr="007F2332" w:rsidRDefault="007F2332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F2332" w:rsidRPr="007F2332" w:rsidRDefault="007F2332" w:rsidP="007F2332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FF0000"/>
          <w:sz w:val="30"/>
          <w:szCs w:val="30"/>
          <w:lang w:val="en-US" w:eastAsia="ru-RU"/>
        </w:rPr>
      </w:pPr>
      <w:r w:rsidRPr="007F233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Слайд </w:t>
      </w:r>
      <w:r w:rsidRPr="007F2332">
        <w:rPr>
          <w:rFonts w:ascii="Times New Roman" w:eastAsia="Times New Roman" w:hAnsi="Times New Roman" w:cs="Times New Roman"/>
          <w:color w:val="FF0000"/>
          <w:sz w:val="30"/>
          <w:szCs w:val="30"/>
          <w:lang w:val="en-US" w:eastAsia="ru-RU"/>
        </w:rPr>
        <w:t>20</w:t>
      </w:r>
    </w:p>
    <w:p w:rsidR="00AC4713" w:rsidRPr="007F2332" w:rsidRDefault="00AC4713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августе в республике проводится Чемпионат мира по профессиональному мастерству по стандартам </w:t>
      </w:r>
      <w:proofErr w:type="spellStart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Ворлд</w:t>
      </w:r>
      <w:proofErr w:type="spellEnd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Скиллс</w:t>
      </w:r>
      <w:proofErr w:type="spellEnd"/>
      <w:r w:rsidR="00EE5E32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E5E32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частниками чемпионата станут порядка 1,6 тысяч </w:t>
      </w:r>
      <w:r w:rsidR="00EE5E32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человек</w:t>
      </w: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70 стран. Основной площадкой соревнований станет международный выставочный центр «Казань Экспо». Церемонии открытия и закрытия состоятся на стадионе «Казань Арена». В общей сложности мероприятия </w:t>
      </w:r>
      <w:proofErr w:type="gramStart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чемпионата  посетят</w:t>
      </w:r>
      <w:proofErr w:type="gramEnd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порядка 250 тысяч человек. </w:t>
      </w:r>
    </w:p>
    <w:p w:rsidR="007F2332" w:rsidRDefault="00AC4713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Особая роль в проведении отводится транспорту. </w:t>
      </w:r>
    </w:p>
    <w:p w:rsidR="007F2332" w:rsidRPr="007F2332" w:rsidRDefault="007F2332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F2332" w:rsidRPr="007F2332" w:rsidRDefault="007F2332" w:rsidP="007F2332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FF0000"/>
          <w:sz w:val="30"/>
          <w:szCs w:val="30"/>
          <w:lang w:val="en-US" w:eastAsia="ru-RU"/>
        </w:rPr>
      </w:pPr>
      <w:r w:rsidRPr="007F233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Слайд </w:t>
      </w:r>
      <w:r w:rsidRPr="007F2332">
        <w:rPr>
          <w:rFonts w:ascii="Times New Roman" w:eastAsia="Times New Roman" w:hAnsi="Times New Roman" w:cs="Times New Roman"/>
          <w:color w:val="FF0000"/>
          <w:sz w:val="30"/>
          <w:szCs w:val="30"/>
          <w:lang w:val="en-US" w:eastAsia="ru-RU"/>
        </w:rPr>
        <w:t>21</w:t>
      </w:r>
    </w:p>
    <w:p w:rsidR="00AC4713" w:rsidRPr="007F2332" w:rsidRDefault="00AC4713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Операционный транспортный план разработан и утвержден Оргкомитетом. Весь подвижной состав будет </w:t>
      </w:r>
      <w:proofErr w:type="spellStart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забрендирован</w:t>
      </w:r>
      <w:proofErr w:type="spellEnd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стилистике чемпионата, обеспечен информационными аншлагами и указателями, а также пропусками на объекты в соответствии с концепцией безопасности.</w:t>
      </w:r>
    </w:p>
    <w:p w:rsidR="00AC4713" w:rsidRDefault="00AC4713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период проведения чемпионата основная нагрузка по перевозке его участников и гостей ляжет на воздушный и железнодорожный транспорт. На федеральном и республиканском уровнях продолжается работа по оказанию содействия клиентским группам мирового чемпионата в бронировании авиабилетов и выборе маршрутов в соответствии с представляемыми заявками. По мере востребованности авиакомпаниями принимаются решения по замене воздушных судов на более вместительные, а также по увеличению количества рейсов на маршруте Москва-Казань-Москва в пиковые даты прибытия и убытия участников мирового чемпионата.</w:t>
      </w:r>
    </w:p>
    <w:p w:rsidR="007F2332" w:rsidRPr="007F2332" w:rsidRDefault="007F2332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F2332" w:rsidRPr="007F2332" w:rsidRDefault="007F2332" w:rsidP="007F2332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Слайд </w:t>
      </w:r>
      <w:r w:rsidRPr="007F233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22</w:t>
      </w:r>
    </w:p>
    <w:p w:rsidR="00AC4713" w:rsidRDefault="00AC4713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Отдельного внимания требует транспортировка организованных групп посетителей. Все организованные группы посетителей планируется доставлять на «</w:t>
      </w:r>
      <w:r w:rsidR="00EE5E32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Казань Экспо» через точки сбора</w:t>
      </w: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: от Казанской академии тенниса и выставочного центра «Казанская ярмарка» транспортировка будет осуществляться на автобусах, от железнодорожного вокзала – электричкой. Для неорганизованных зрителей запланировано три маршрута доставки шаттлами: от станции метро «Дубравная», парковки «</w:t>
      </w:r>
      <w:proofErr w:type="spellStart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Леруа</w:t>
      </w:r>
      <w:proofErr w:type="spellEnd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Мерлен</w:t>
      </w:r>
      <w:proofErr w:type="spellEnd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Оренбургском тракте и ТЦ «Мега». Плата за проезд на шаттлах взиматься не будет.</w:t>
      </w:r>
    </w:p>
    <w:p w:rsidR="007F2332" w:rsidRPr="007F2332" w:rsidRDefault="007F2332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F2332" w:rsidRPr="007F2332" w:rsidRDefault="007F2332" w:rsidP="007F2332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Слайд </w:t>
      </w:r>
      <w:r w:rsidRPr="007F233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23</w:t>
      </w:r>
    </w:p>
    <w:p w:rsidR="00AC4713" w:rsidRPr="007F2332" w:rsidRDefault="00AC4713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обеспечения безопасности гостей и жителей нашей республики в период проведения Мирового чемпионата руководителям транспортных предприятий необходимо принять усиленные меры по выполнению требований транспортной безопасности, а именно:</w:t>
      </w:r>
    </w:p>
    <w:p w:rsidR="00AC4713" w:rsidRPr="007F2332" w:rsidRDefault="00AC4713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Обеспечить выполнение мероприятий, предусмотренных планами обеспечения транспортной безопасности объектов транспортной инфраструктуры и транспортных средств. </w:t>
      </w:r>
    </w:p>
    <w:p w:rsidR="00AC4713" w:rsidRPr="007F2332" w:rsidRDefault="00AC4713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Провести внеплановые инструктажи сил обеспечения транспортной безопасности и </w:t>
      </w:r>
      <w:proofErr w:type="gramStart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персонала  о</w:t>
      </w:r>
      <w:proofErr w:type="gramEnd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действиях, предусмотренных планами обеспечения </w:t>
      </w: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транспортной безопасности при угрозе совершения или совершении актов незаконного вмешательства, обратив особое внимание на необходимость усиления контроля, в целях обнаружения посторонних лиц и бесхозных предметов на объектах и в транспортных средствах. </w:t>
      </w:r>
    </w:p>
    <w:p w:rsidR="00AC4713" w:rsidRPr="007F2332" w:rsidRDefault="00AC4713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Провести проверки эффективности работы технических средств обеспечения транспортной безопасности, средств пожаротушения. </w:t>
      </w:r>
    </w:p>
    <w:p w:rsidR="00AC4713" w:rsidRPr="007F2332" w:rsidRDefault="00AC4713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Обратить особое внимание на обеспечение пропускного и </w:t>
      </w:r>
      <w:proofErr w:type="spellStart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внутриобъектового</w:t>
      </w:r>
      <w:proofErr w:type="spellEnd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режимов. </w:t>
      </w:r>
    </w:p>
    <w:p w:rsidR="00AC4713" w:rsidRDefault="00AC4713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Обеспечить проведение разъяснительной работы, направленной на повышение бдительности и личной ответственности персонала. </w:t>
      </w:r>
    </w:p>
    <w:p w:rsidR="007F2332" w:rsidRPr="007F2332" w:rsidRDefault="007F2332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F2332" w:rsidRPr="007F2332" w:rsidRDefault="007F2332" w:rsidP="007F2332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FF0000"/>
          <w:sz w:val="30"/>
          <w:szCs w:val="30"/>
          <w:lang w:val="en-US" w:eastAsia="ru-RU"/>
        </w:rPr>
      </w:pPr>
      <w:r w:rsidRPr="007F233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Слайд </w:t>
      </w:r>
      <w:r w:rsidRPr="007F2332">
        <w:rPr>
          <w:rFonts w:ascii="Times New Roman" w:eastAsia="Times New Roman" w:hAnsi="Times New Roman" w:cs="Times New Roman"/>
          <w:color w:val="FF0000"/>
          <w:sz w:val="30"/>
          <w:szCs w:val="30"/>
          <w:lang w:val="en-US" w:eastAsia="ru-RU"/>
        </w:rPr>
        <w:t>24</w:t>
      </w:r>
    </w:p>
    <w:p w:rsidR="006B721D" w:rsidRPr="007F2332" w:rsidRDefault="00CF3E26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Уверен, что в</w:t>
      </w:r>
      <w:r w:rsidR="006B721D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период проведения соревнований транспортная система Республики Татарстан отработа</w:t>
      </w: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ет</w:t>
      </w:r>
      <w:r w:rsidR="006B721D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должным образом</w:t>
      </w:r>
      <w:r w:rsidR="00AC4713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мы с вами</w:t>
      </w:r>
      <w:r w:rsidR="006B721D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</w:t>
      </w:r>
      <w:r w:rsidR="00AC4713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им</w:t>
      </w:r>
      <w:r w:rsidR="006B721D"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бесперебойные безопасные перевозки пассажиров.</w:t>
      </w:r>
    </w:p>
    <w:p w:rsidR="00084419" w:rsidRPr="007F2332" w:rsidRDefault="00084419" w:rsidP="007F2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2332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Спасибо за внимание!</w:t>
      </w:r>
    </w:p>
    <w:sectPr w:rsidR="00084419" w:rsidRPr="007F2332" w:rsidSect="002339D8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0DF2635"/>
    <w:multiLevelType w:val="hybridMultilevel"/>
    <w:tmpl w:val="F283429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0C07007"/>
    <w:multiLevelType w:val="hybridMultilevel"/>
    <w:tmpl w:val="181A274E"/>
    <w:lvl w:ilvl="0" w:tplc="59E8992A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D4"/>
    <w:rsid w:val="00005394"/>
    <w:rsid w:val="00005DBB"/>
    <w:rsid w:val="0005401B"/>
    <w:rsid w:val="00084419"/>
    <w:rsid w:val="00084976"/>
    <w:rsid w:val="00085091"/>
    <w:rsid w:val="000A1658"/>
    <w:rsid w:val="000A432C"/>
    <w:rsid w:val="000A72EF"/>
    <w:rsid w:val="000F293A"/>
    <w:rsid w:val="00146650"/>
    <w:rsid w:val="00162EBE"/>
    <w:rsid w:val="001669F2"/>
    <w:rsid w:val="00191E9F"/>
    <w:rsid w:val="00194E84"/>
    <w:rsid w:val="00197B97"/>
    <w:rsid w:val="001B16A1"/>
    <w:rsid w:val="001C1E3F"/>
    <w:rsid w:val="001D14C4"/>
    <w:rsid w:val="001E7566"/>
    <w:rsid w:val="002036EB"/>
    <w:rsid w:val="002270E5"/>
    <w:rsid w:val="002339D8"/>
    <w:rsid w:val="00277A17"/>
    <w:rsid w:val="002A2D9D"/>
    <w:rsid w:val="002A37D4"/>
    <w:rsid w:val="002B69B5"/>
    <w:rsid w:val="002E1DC4"/>
    <w:rsid w:val="002F7D03"/>
    <w:rsid w:val="00314D0E"/>
    <w:rsid w:val="00330020"/>
    <w:rsid w:val="00332A7D"/>
    <w:rsid w:val="00347966"/>
    <w:rsid w:val="003610D1"/>
    <w:rsid w:val="003D6A48"/>
    <w:rsid w:val="003F0F03"/>
    <w:rsid w:val="0040448B"/>
    <w:rsid w:val="00407B38"/>
    <w:rsid w:val="00420DEC"/>
    <w:rsid w:val="004378C9"/>
    <w:rsid w:val="00465215"/>
    <w:rsid w:val="004A0401"/>
    <w:rsid w:val="004B31FE"/>
    <w:rsid w:val="00534925"/>
    <w:rsid w:val="00542926"/>
    <w:rsid w:val="0056080E"/>
    <w:rsid w:val="005833B6"/>
    <w:rsid w:val="00585719"/>
    <w:rsid w:val="00586B13"/>
    <w:rsid w:val="00594CEE"/>
    <w:rsid w:val="005C0AC0"/>
    <w:rsid w:val="005C748E"/>
    <w:rsid w:val="00615911"/>
    <w:rsid w:val="00686C8B"/>
    <w:rsid w:val="006B721D"/>
    <w:rsid w:val="006D22FF"/>
    <w:rsid w:val="00722F85"/>
    <w:rsid w:val="00737DD1"/>
    <w:rsid w:val="00747B84"/>
    <w:rsid w:val="007511F1"/>
    <w:rsid w:val="00794C79"/>
    <w:rsid w:val="007A6877"/>
    <w:rsid w:val="007F2332"/>
    <w:rsid w:val="00813C7E"/>
    <w:rsid w:val="00814C1B"/>
    <w:rsid w:val="00825946"/>
    <w:rsid w:val="00843E71"/>
    <w:rsid w:val="00862EFD"/>
    <w:rsid w:val="0087713C"/>
    <w:rsid w:val="008B04A0"/>
    <w:rsid w:val="008F0829"/>
    <w:rsid w:val="008F1F5A"/>
    <w:rsid w:val="009348BF"/>
    <w:rsid w:val="0093560F"/>
    <w:rsid w:val="0095342A"/>
    <w:rsid w:val="00972449"/>
    <w:rsid w:val="009821C7"/>
    <w:rsid w:val="009879D6"/>
    <w:rsid w:val="0099258C"/>
    <w:rsid w:val="00994095"/>
    <w:rsid w:val="00A005FC"/>
    <w:rsid w:val="00A13CCC"/>
    <w:rsid w:val="00A1752F"/>
    <w:rsid w:val="00A31A11"/>
    <w:rsid w:val="00A43F70"/>
    <w:rsid w:val="00A47A51"/>
    <w:rsid w:val="00A63693"/>
    <w:rsid w:val="00AA2AAC"/>
    <w:rsid w:val="00AC4713"/>
    <w:rsid w:val="00AD65F8"/>
    <w:rsid w:val="00AE1B42"/>
    <w:rsid w:val="00AE1BE1"/>
    <w:rsid w:val="00B003F1"/>
    <w:rsid w:val="00B16A76"/>
    <w:rsid w:val="00B70483"/>
    <w:rsid w:val="00B8018D"/>
    <w:rsid w:val="00B851B2"/>
    <w:rsid w:val="00BD0B25"/>
    <w:rsid w:val="00C0401E"/>
    <w:rsid w:val="00C8552A"/>
    <w:rsid w:val="00C97D60"/>
    <w:rsid w:val="00CC3D01"/>
    <w:rsid w:val="00CF3E26"/>
    <w:rsid w:val="00CF7313"/>
    <w:rsid w:val="00D07A25"/>
    <w:rsid w:val="00D13DA3"/>
    <w:rsid w:val="00D22DA5"/>
    <w:rsid w:val="00D46DA2"/>
    <w:rsid w:val="00D53078"/>
    <w:rsid w:val="00D75B33"/>
    <w:rsid w:val="00D76468"/>
    <w:rsid w:val="00DD2FA0"/>
    <w:rsid w:val="00DE3682"/>
    <w:rsid w:val="00E01DFF"/>
    <w:rsid w:val="00E0624C"/>
    <w:rsid w:val="00E365BD"/>
    <w:rsid w:val="00E44478"/>
    <w:rsid w:val="00E53D6E"/>
    <w:rsid w:val="00E73ED3"/>
    <w:rsid w:val="00EB13CC"/>
    <w:rsid w:val="00EE5E32"/>
    <w:rsid w:val="00EE7F3D"/>
    <w:rsid w:val="00EF1077"/>
    <w:rsid w:val="00EF2DB5"/>
    <w:rsid w:val="00F3647D"/>
    <w:rsid w:val="00F82006"/>
    <w:rsid w:val="00F90B85"/>
    <w:rsid w:val="00F96B62"/>
    <w:rsid w:val="00FA0916"/>
    <w:rsid w:val="00FB0BEF"/>
    <w:rsid w:val="00FB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B42EC-6B68-42A9-A0F5-FAEC93B3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8F1F5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D14C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ody Text Indent"/>
    <w:basedOn w:val="a"/>
    <w:link w:val="a5"/>
    <w:rsid w:val="001D14C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D14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A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36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F96B6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F96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DD1"/>
  </w:style>
  <w:style w:type="paragraph" w:styleId="a8">
    <w:name w:val="Balloon Text"/>
    <w:basedOn w:val="a"/>
    <w:link w:val="a9"/>
    <w:uiPriority w:val="99"/>
    <w:semiHidden/>
    <w:unhideWhenUsed/>
    <w:rsid w:val="0073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DD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005DB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05DBB"/>
  </w:style>
  <w:style w:type="character" w:customStyle="1" w:styleId="20">
    <w:name w:val="Заголовок 2 Знак"/>
    <w:basedOn w:val="a0"/>
    <w:link w:val="2"/>
    <w:uiPriority w:val="9"/>
    <w:semiHidden/>
    <w:rsid w:val="008F1F5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c">
    <w:name w:val="List Paragraph"/>
    <w:basedOn w:val="a"/>
    <w:uiPriority w:val="34"/>
    <w:qFormat/>
    <w:rsid w:val="008F1F5A"/>
    <w:pPr>
      <w:ind w:left="720"/>
      <w:contextualSpacing/>
    </w:pPr>
    <w:rPr>
      <w:rFonts w:ascii="Calibri" w:hAnsi="Calibri" w:cs="Times New Roman"/>
    </w:rPr>
  </w:style>
  <w:style w:type="paragraph" w:styleId="ad">
    <w:name w:val="Plain Text"/>
    <w:basedOn w:val="a"/>
    <w:link w:val="ae"/>
    <w:uiPriority w:val="99"/>
    <w:semiHidden/>
    <w:unhideWhenUsed/>
    <w:rsid w:val="00CF3E26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CF3E26"/>
    <w:rPr>
      <w:rFonts w:ascii="Calibri" w:hAnsi="Calibri"/>
      <w:szCs w:val="21"/>
    </w:rPr>
  </w:style>
  <w:style w:type="paragraph" w:customStyle="1" w:styleId="Default">
    <w:name w:val="Default"/>
    <w:rsid w:val="00AC4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DE368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5BF96-18A4-42C1-AF65-2A6BAD93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Алексей Васильевич</dc:creator>
  <cp:lastModifiedBy>Сидоров Алексей Васильевич</cp:lastModifiedBy>
  <cp:revision>6</cp:revision>
  <cp:lastPrinted>2019-07-18T11:58:00Z</cp:lastPrinted>
  <dcterms:created xsi:type="dcterms:W3CDTF">2019-07-17T06:14:00Z</dcterms:created>
  <dcterms:modified xsi:type="dcterms:W3CDTF">2019-07-18T13:17:00Z</dcterms:modified>
</cp:coreProperties>
</file>