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Pr="0069243F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МИНИСТЕРСТ</w:t>
      </w:r>
      <w:r w:rsidR="003A495F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 ТРАНСПОРТА И ДОРОЖНОГО ХОЗЯЙ</w:t>
      </w: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</w:t>
      </w:r>
      <w:r w:rsidR="003A495F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</w:t>
      </w:r>
    </w:p>
    <w:p w:rsidR="005E531A" w:rsidRPr="0069243F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РЕСПУ</w:t>
      </w:r>
      <w:r w:rsidR="005E531A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БЛИКИ ТАТАРСТАН</w:t>
      </w:r>
    </w:p>
    <w:p w:rsidR="005E531A" w:rsidRPr="0069243F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5E531A" w:rsidRPr="0069243F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ПРЕСС-РЕЛИЗ</w:t>
      </w:r>
    </w:p>
    <w:p w:rsidR="005E531A" w:rsidRPr="0069243F" w:rsidRDefault="006A4077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27</w:t>
      </w:r>
      <w:r w:rsidR="007A6F5A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A495F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апреля 202</w:t>
      </w:r>
      <w:r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="005E531A" w:rsidRPr="0069243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142018" w:rsidRPr="0069243F" w:rsidRDefault="00142018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69243F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проведения:</w:t>
            </w:r>
          </w:p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69243F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24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 Министров РТ, зал заседаний (3 этаж)</w:t>
            </w:r>
          </w:p>
        </w:tc>
      </w:tr>
      <w:tr w:rsidR="005E531A" w:rsidRPr="0069243F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69243F" w:rsidRDefault="006A4077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E531A" w:rsidRPr="0069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3214B" w:rsidRPr="0069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E531A" w:rsidRPr="0069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E531A" w:rsidRPr="0069243F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31A" w:rsidRPr="0069243F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мероприятия:</w:t>
            </w:r>
          </w:p>
          <w:p w:rsidR="005E531A" w:rsidRPr="0069243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E531A" w:rsidRPr="0069243F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05275" w:rsidRPr="0069243F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275" w:rsidRPr="0069243F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9243F" w:rsidRDefault="004A6B73" w:rsidP="00E40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43F">
              <w:rPr>
                <w:rFonts w:ascii="Times New Roman" w:hAnsi="Times New Roman" w:cs="Times New Roman"/>
                <w:sz w:val="20"/>
                <w:szCs w:val="20"/>
              </w:rPr>
              <w:t>Брифинг в Кабинете Министров Республики Татарс</w:t>
            </w:r>
            <w:r w:rsidR="0033214B" w:rsidRPr="0069243F">
              <w:rPr>
                <w:rFonts w:ascii="Times New Roman" w:hAnsi="Times New Roman" w:cs="Times New Roman"/>
                <w:sz w:val="20"/>
                <w:szCs w:val="20"/>
              </w:rPr>
              <w:t xml:space="preserve">тан в режиме видеоконференции: </w:t>
            </w:r>
            <w:r w:rsidR="00DC0811" w:rsidRPr="0069243F">
              <w:rPr>
                <w:rFonts w:ascii="Times New Roman" w:hAnsi="Times New Roman"/>
                <w:sz w:val="20"/>
                <w:szCs w:val="20"/>
              </w:rPr>
              <w:t>«</w:t>
            </w:r>
            <w:r w:rsidR="003A495F" w:rsidRPr="0069243F">
              <w:rPr>
                <w:rFonts w:ascii="Times New Roman" w:hAnsi="Times New Roman"/>
                <w:sz w:val="20"/>
                <w:szCs w:val="20"/>
              </w:rPr>
              <w:t xml:space="preserve">О начале выполнения Программы дорожных работ в Республике Татарстан и реализации </w:t>
            </w:r>
            <w:r w:rsidR="00E40D52" w:rsidRPr="0069243F">
              <w:rPr>
                <w:rFonts w:ascii="Times New Roman" w:hAnsi="Times New Roman"/>
                <w:sz w:val="20"/>
                <w:szCs w:val="20"/>
              </w:rPr>
              <w:t>национального</w:t>
            </w:r>
            <w:r w:rsidR="003A495F" w:rsidRPr="0069243F">
              <w:rPr>
                <w:rFonts w:ascii="Times New Roman" w:hAnsi="Times New Roman"/>
                <w:sz w:val="20"/>
                <w:szCs w:val="20"/>
              </w:rPr>
              <w:t xml:space="preserve"> проекта «Безопасные качественные дороги»</w:t>
            </w:r>
            <w:r w:rsidRPr="006924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9243F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На программу дорожных работ Республики Татарстан </w:t>
      </w:r>
      <w:r w:rsidR="006B79DB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2021 год</w:t>
      </w:r>
      <w:r w:rsidR="006B79DB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предусмотрены 37,6 млрд. рублей, в том числе 1,187 млрд. рублей - средства муниципального дорожного фонда. </w:t>
      </w:r>
      <w:r w:rsidR="0069243F">
        <w:rPr>
          <w:rFonts w:ascii="Times New Roman" w:eastAsia="Times New Roman" w:hAnsi="Times New Roman" w:cs="Times New Roman"/>
          <w:sz w:val="20"/>
          <w:szCs w:val="20"/>
        </w:rPr>
        <w:t>Всего п</w:t>
      </w:r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>ланируется построить 55,5 км дорог, отремонтировать 739,2 км.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b/>
          <w:sz w:val="20"/>
          <w:szCs w:val="20"/>
        </w:rPr>
        <w:t>На региональных дорогах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     - на строительство и реконструкция 53 объектов общей протяженностью 55,5 км, в том числе</w:t>
      </w:r>
      <w:r w:rsidRPr="00E40D52">
        <w:rPr>
          <w:rFonts w:ascii="Times New Roman" w:hAnsi="Times New Roman" w:cs="Times New Roman"/>
          <w:sz w:val="20"/>
          <w:szCs w:val="20"/>
        </w:rPr>
        <w:t xml:space="preserve"> 7 мостов, выделено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свыше 5 миллиардов рублей</w:t>
      </w:r>
      <w:r w:rsidRPr="00E40D52">
        <w:rPr>
          <w:rFonts w:ascii="Times New Roman" w:hAnsi="Times New Roman" w:cs="Times New Roman"/>
          <w:sz w:val="20"/>
          <w:szCs w:val="20"/>
        </w:rPr>
        <w:t>. В текущем году будут введены в эксплуатацию 6 мостов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     - на </w:t>
      </w:r>
      <w:r w:rsidRPr="00E40D52">
        <w:rPr>
          <w:rFonts w:ascii="Times New Roman" w:hAnsi="Times New Roman" w:cs="Times New Roman"/>
          <w:sz w:val="20"/>
          <w:szCs w:val="20"/>
        </w:rPr>
        <w:t>капитальный ремонт и ремонт 281 объекта общей протяженностью 145,4 км, в том числе 5 мостов, выделено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свыше 11 миллиардов рублей</w:t>
      </w:r>
      <w:r w:rsidRPr="00E40D52">
        <w:rPr>
          <w:rFonts w:ascii="Times New Roman" w:hAnsi="Times New Roman" w:cs="Times New Roman"/>
          <w:sz w:val="20"/>
          <w:szCs w:val="20"/>
        </w:rPr>
        <w:t xml:space="preserve">. В 2021 году планируется ввести 2 моста </w:t>
      </w:r>
      <w:r>
        <w:rPr>
          <w:rFonts w:ascii="Times New Roman" w:hAnsi="Times New Roman" w:cs="Times New Roman"/>
          <w:sz w:val="20"/>
          <w:szCs w:val="20"/>
        </w:rPr>
        <w:t xml:space="preserve">общей протяженностью 149,47 погонных </w:t>
      </w:r>
      <w:r w:rsidRPr="00E40D52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етров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E40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     - на содержание региональных автомобильных дорог и на проектные работы выделено свыше 5 миллиардов рублей.</w:t>
      </w:r>
    </w:p>
    <w:p w:rsid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На данный момент за счет средств на содержание идет ямочный ремонт покрытия автомобильных дорог. Ямочный ремонт выполнен на площади 98 565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>Всего за год пл</w:t>
      </w:r>
      <w:r w:rsidR="0069243F">
        <w:rPr>
          <w:rFonts w:ascii="Times New Roman" w:eastAsia="Times New Roman" w:hAnsi="Times New Roman" w:cs="Times New Roman"/>
          <w:sz w:val="20"/>
          <w:szCs w:val="20"/>
        </w:rPr>
        <w:t>анируется выполнить порядка 900</w:t>
      </w:r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>тыс.кв.м</w:t>
      </w:r>
      <w:proofErr w:type="spellEnd"/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 xml:space="preserve"> ямочного ремонта, в том числе за весенний период </w:t>
      </w:r>
      <w:r w:rsidR="0069243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 xml:space="preserve">около 600 </w:t>
      </w:r>
      <w:proofErr w:type="spellStart"/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>тыс.кв.м</w:t>
      </w:r>
      <w:proofErr w:type="spellEnd"/>
      <w:r w:rsidR="0069243F" w:rsidRPr="0069243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9243F" w:rsidRPr="00E40D52" w:rsidRDefault="0069243F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В 2021 году планируется </w:t>
      </w:r>
      <w:r w:rsidRPr="00E40D52">
        <w:rPr>
          <w:rFonts w:ascii="Times New Roman" w:eastAsia="Times New Roman" w:hAnsi="Times New Roman" w:cs="Times New Roman"/>
          <w:b/>
          <w:sz w:val="20"/>
          <w:szCs w:val="20"/>
        </w:rPr>
        <w:t>реализация 3 основных социальных программ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по ремонту дорожно-уличной сети:</w:t>
      </w:r>
    </w:p>
    <w:p w:rsidR="00E40D52" w:rsidRPr="00E40D52" w:rsidRDefault="00E40D52" w:rsidP="00E40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/>
          <w:sz w:val="20"/>
          <w:szCs w:val="20"/>
        </w:rPr>
        <w:t>- по устройству щебеночно-песчаного покрытия в сельских населенных пунктах – будут отремонтированы 135 км дорог.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Финансирование составляет 1 млрд руб. из республиканского бюджета.</w:t>
      </w:r>
    </w:p>
    <w:p w:rsidR="00E40D52" w:rsidRPr="00E40D52" w:rsidRDefault="00E40D52" w:rsidP="00E40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/>
          <w:sz w:val="20"/>
          <w:szCs w:val="20"/>
        </w:rPr>
        <w:t xml:space="preserve"> - по ремонту существующего асфальтобетонного покрытия дорог населенных пунктов - планируется отремонтировать 88 км.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Финансирование составляет 1 млрд руб. из республиканского бюджета.</w:t>
      </w:r>
    </w:p>
    <w:p w:rsidR="00E40D52" w:rsidRDefault="00E40D52" w:rsidP="00E40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/>
          <w:sz w:val="20"/>
          <w:szCs w:val="20"/>
        </w:rPr>
        <w:t xml:space="preserve">- по ремонту дорожно-уличной сети населенных пунктов – общей протяженностью более 110 км. 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Финансирование составляет 1 186,6 млн руб. из </w:t>
      </w:r>
      <w:r w:rsidRPr="00E40D52">
        <w:rPr>
          <w:rFonts w:ascii="Times New Roman" w:eastAsia="Times New Roman" w:hAnsi="Times New Roman"/>
          <w:sz w:val="20"/>
          <w:szCs w:val="20"/>
        </w:rPr>
        <w:t>муниципального дорожного фонд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9243F" w:rsidRPr="00E40D52" w:rsidRDefault="0069243F" w:rsidP="00E40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Планируется обустроить </w:t>
      </w:r>
      <w:r w:rsidRPr="00E40D52">
        <w:rPr>
          <w:rFonts w:ascii="Times New Roman" w:eastAsia="Times New Roman" w:hAnsi="Times New Roman" w:cs="Times New Roman"/>
          <w:b/>
          <w:sz w:val="20"/>
          <w:szCs w:val="20"/>
        </w:rPr>
        <w:t xml:space="preserve">подъездные пути к </w:t>
      </w:r>
      <w:r w:rsidRPr="00E40D52">
        <w:rPr>
          <w:rFonts w:ascii="Times New Roman" w:hAnsi="Times New Roman" w:cs="Times New Roman"/>
          <w:b/>
          <w:sz w:val="20"/>
          <w:szCs w:val="20"/>
        </w:rPr>
        <w:t>30 фермерским хозяйствам</w:t>
      </w:r>
      <w:r w:rsidRPr="00E40D52">
        <w:rPr>
          <w:rFonts w:ascii="Times New Roman" w:hAnsi="Times New Roman" w:cs="Times New Roman"/>
          <w:sz w:val="20"/>
          <w:szCs w:val="20"/>
        </w:rPr>
        <w:t xml:space="preserve">, расположенным в 17 муниципальных районах, 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E40D52">
        <w:rPr>
          <w:rFonts w:ascii="Times New Roman" w:hAnsi="Times New Roman" w:cs="Times New Roman"/>
          <w:sz w:val="20"/>
          <w:szCs w:val="20"/>
        </w:rPr>
        <w:t xml:space="preserve">отремонтировать </w:t>
      </w:r>
      <w:r w:rsidRPr="00E40D52">
        <w:rPr>
          <w:rFonts w:ascii="Times New Roman" w:hAnsi="Times New Roman" w:cs="Times New Roman"/>
          <w:b/>
          <w:sz w:val="20"/>
          <w:szCs w:val="20"/>
        </w:rPr>
        <w:t>21 подъездную дорогу к садовым обществам</w:t>
      </w:r>
      <w:r w:rsidRPr="00E40D52">
        <w:rPr>
          <w:rFonts w:ascii="Times New Roman" w:hAnsi="Times New Roman" w:cs="Times New Roman"/>
          <w:sz w:val="20"/>
          <w:szCs w:val="20"/>
        </w:rPr>
        <w:t>, расположенным в 12 муниципальных районах, в том числе в Казани и Набережных Челнах.</w:t>
      </w:r>
    </w:p>
    <w:p w:rsid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>В 2021 году при поддержке Президента РТ Р.Н. 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Минниханова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продолжается реализация </w:t>
      </w:r>
      <w:r w:rsidRPr="00E40D52">
        <w:rPr>
          <w:rFonts w:ascii="Times New Roman" w:eastAsia="Times New Roman" w:hAnsi="Times New Roman" w:cs="Times New Roman"/>
          <w:b/>
          <w:sz w:val="20"/>
          <w:szCs w:val="20"/>
        </w:rPr>
        <w:t>республиканской программы «Наш двор»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>. Работы запланированы на 1074 объектах.</w:t>
      </w:r>
    </w:p>
    <w:p w:rsidR="0069243F" w:rsidRPr="00E40D52" w:rsidRDefault="0069243F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Республика Татарстан участвует в реализации </w:t>
      </w:r>
      <w:r w:rsidRPr="00E40D52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проекта «Безопасные качественные дороги»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. Данный проект начат в 2017 году как федеральный приоритетный проект, в 2019 году расширен до национального. В текущем году запланированы: </w:t>
      </w:r>
    </w:p>
    <w:p w:rsidR="00E40D52" w:rsidRPr="00E40D52" w:rsidRDefault="00E40D52" w:rsidP="00E4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ремонт 96,7 км дорог регионального значения, что обеспечивает достижение 48,2% нормативного состояния. Финансирование составляет 1,347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из республиканского бюджета;</w:t>
      </w:r>
    </w:p>
    <w:p w:rsidR="00E40D52" w:rsidRPr="00E40D52" w:rsidRDefault="00E40D52" w:rsidP="00E4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ремонт 61,6 км дорог Казанской агломерации, что обеспечивает достижение 84,5% нормативного состояния, в том числе 13,5 км – улицы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г.Казани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, 48,2 км – региональные дороги. Финансирование – 9,16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, в том числе 8,16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– средства феде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рального бюджета,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республиканского;</w:t>
      </w:r>
    </w:p>
    <w:p w:rsidR="00E40D52" w:rsidRPr="00E40D52" w:rsidRDefault="00E40D52" w:rsidP="00E4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ремонт 48,4 км дорог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Набережночелниской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агломерации, что обеспечивает достижение 81% нормативного состояния, в том числе 1,4 км – улицы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г.Набережные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Челны, 47 км – региональные дороги. Финансирование – 1,15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, в том числе 470,5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средства федерального бюджета, 680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республиканского;</w:t>
      </w:r>
    </w:p>
    <w:p w:rsidR="00E40D52" w:rsidRPr="00E40D52" w:rsidRDefault="00E40D52" w:rsidP="00E40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ремонт 11,1 км дорог Нижнекамской агломерации, что обеспечивает достижение 74,4% нормативного состояния. Финансирование – 531,7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, в том числе 483,7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средства федерального бюджета, 48,0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республиканского.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Общая сумма финансирования составляет 12,187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, в том числе 9,112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. - средства федерального бюджета, 3,075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млрд.руб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. - республиканского.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>За счет выделенного федерального финансирования в текущем году будут продолжены: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строительство автомобильной дороги от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ул.Несмелова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до автомобильной дороги федерального значения М-7 Волга через жилой комплекс Серебряный бор в Кировском районе Казани.  Финансирование – 3 264,8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реконструкция автомобильной дороги Казань – Шемордан на участке от 16,2 км до 21,977 км в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Пестречинском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районе Республики Татарстан. Финансирование -1 645,0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- строительство Большого Казанского кольца на территории муниципального образования Казани. Финансирование – 2 090,2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На сегодня уже начаты работы на 4 городских объектах и 10 региональных объектах. В частности, восстановление изношенных слоев на участках автодорог: Алексеевское - Высокий Колок в Алексеевском и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Алькеевском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районах, «Подъезд к г. Елабуга» </w:t>
      </w:r>
      <w:proofErr w:type="gramStart"/>
      <w:r w:rsidRPr="00E40D52">
        <w:rPr>
          <w:rFonts w:ascii="Times New Roman" w:eastAsia="Times New Roman" w:hAnsi="Times New Roman" w:cs="Times New Roman"/>
          <w:sz w:val="20"/>
          <w:szCs w:val="20"/>
        </w:rPr>
        <w:t>и  Елабуга</w:t>
      </w:r>
      <w:proofErr w:type="gram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– Гари –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Абалач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Елабужском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районе,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Лубяны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Бажениха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Кукморском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районе, М-7 «Волга» -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Бизяки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в Мензелинском районе, </w:t>
      </w:r>
      <w:r w:rsidR="00DC689D" w:rsidRPr="000C064D">
        <w:rPr>
          <w:rFonts w:ascii="Times New Roman" w:eastAsia="Times New Roman" w:hAnsi="Times New Roman" w:cs="Times New Roman"/>
          <w:sz w:val="20"/>
          <w:szCs w:val="20"/>
        </w:rPr>
        <w:t>Новошешминск - Андреевка - Новотроицкое в Новошешминском районе</w:t>
      </w:r>
      <w:r w:rsidR="00DC689D">
        <w:rPr>
          <w:rFonts w:ascii="Times New Roman" w:eastAsia="Times New Roman" w:hAnsi="Times New Roman" w:cs="Times New Roman"/>
          <w:sz w:val="20"/>
          <w:szCs w:val="20"/>
        </w:rPr>
        <w:t>,</w:t>
      </w:r>
      <w:r w:rsidR="00DC689D" w:rsidRPr="000C06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Базарные Матаки –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Мамыково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Нурлатском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районе,  Ким - </w:t>
      </w:r>
      <w:proofErr w:type="spellStart"/>
      <w:r w:rsidRPr="00E40D52">
        <w:rPr>
          <w:rFonts w:ascii="Times New Roman" w:eastAsia="Times New Roman" w:hAnsi="Times New Roman" w:cs="Times New Roman"/>
          <w:sz w:val="20"/>
          <w:szCs w:val="20"/>
        </w:rPr>
        <w:t>Кузнечиха</w:t>
      </w:r>
      <w:proofErr w:type="spellEnd"/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- Лесная Хмелевка и Базарные Матаки – Болгар в Спасском районе.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70C0"/>
          <w:sz w:val="20"/>
          <w:szCs w:val="20"/>
          <w:lang w:eastAsia="en-US"/>
        </w:rPr>
      </w:pPr>
      <w:r w:rsidRPr="00E40D52">
        <w:rPr>
          <w:rFonts w:ascii="Times New Roman" w:eastAsia="Times New Roman" w:hAnsi="Times New Roman" w:cs="Times New Roman"/>
          <w:sz w:val="20"/>
          <w:szCs w:val="20"/>
        </w:rPr>
        <w:t>Также по нацпроекту</w:t>
      </w:r>
      <w:r w:rsidRPr="00E40D5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40D52">
        <w:rPr>
          <w:rFonts w:ascii="Times New Roman" w:hAnsi="Times New Roman" w:cs="Times New Roman"/>
          <w:sz w:val="20"/>
          <w:szCs w:val="20"/>
        </w:rPr>
        <w:t xml:space="preserve">планируется </w:t>
      </w:r>
      <w:r w:rsidRPr="00E40D52">
        <w:rPr>
          <w:rFonts w:ascii="Times New Roman" w:hAnsi="Times New Roman" w:cs="Times New Roman"/>
          <w:b/>
          <w:sz w:val="20"/>
          <w:szCs w:val="20"/>
        </w:rPr>
        <w:t>выполнение мероприятий по повышению безопасности дорожного движения</w:t>
      </w:r>
      <w:r w:rsidRPr="00E40D52">
        <w:rPr>
          <w:rFonts w:ascii="Times New Roman" w:hAnsi="Times New Roman" w:cs="Times New Roman"/>
          <w:sz w:val="20"/>
          <w:szCs w:val="20"/>
        </w:rPr>
        <w:t xml:space="preserve"> на всех сформировавшихся участках концентрации ДТП и потенциально-опасных местах концентрации ДТП. По итогам 2020 года совместно с Управлением ГИБДД на региональных дорогах выявлены 2 участка концентрации дорожно-транспортных происшествий, 2 участка «зоны аварийности», 4 потенциально аварийных участка, 35 аварийно-опасных участков. По всем этим 43 участкам разработаны и утверждены инженерные мероприятия, срок завершения работ - до 1 июля текущего года.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000">
        <w:rPr>
          <w:rFonts w:ascii="Times New Roman" w:hAnsi="Times New Roman" w:cs="Times New Roman"/>
          <w:b/>
          <w:sz w:val="20"/>
          <w:szCs w:val="20"/>
        </w:rPr>
        <w:t>В рамках программы дорожных работ также сформированы мероприятия по повышению безопасности дорожного движения</w:t>
      </w:r>
      <w:r w:rsidRPr="00E40D52">
        <w:rPr>
          <w:rFonts w:ascii="Times New Roman" w:hAnsi="Times New Roman" w:cs="Times New Roman"/>
          <w:sz w:val="20"/>
          <w:szCs w:val="20"/>
        </w:rPr>
        <w:t xml:space="preserve">, согласованные с Управлением ГИБДД. В частности, планируется строительство тротуаров на 7 участках автомобильных дорог на общую сумму 73,2 </w:t>
      </w:r>
      <w:proofErr w:type="spellStart"/>
      <w:r w:rsidRPr="00E40D52">
        <w:rPr>
          <w:rFonts w:ascii="Times New Roman" w:hAnsi="Times New Roman" w:cs="Times New Roman"/>
          <w:sz w:val="20"/>
          <w:szCs w:val="20"/>
        </w:rPr>
        <w:t>млн.рублей</w:t>
      </w:r>
      <w:proofErr w:type="spellEnd"/>
      <w:r w:rsidRPr="00E40D52">
        <w:rPr>
          <w:rFonts w:ascii="Times New Roman" w:hAnsi="Times New Roman" w:cs="Times New Roman"/>
          <w:sz w:val="20"/>
          <w:szCs w:val="20"/>
        </w:rPr>
        <w:t>. Кроме того, по программе дорожных работ сформированы следующие планы по: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0D52">
        <w:rPr>
          <w:rFonts w:ascii="Times New Roman" w:hAnsi="Times New Roman" w:cs="Times New Roman"/>
          <w:sz w:val="20"/>
          <w:szCs w:val="20"/>
        </w:rPr>
        <w:t xml:space="preserve">- обустройству искусственного освещения на 50 участках автомобильных дорогах общего пользования регионального значения общей протяженностью более 85,12 км, проходящих через населенные пункты, в 31 районе республики.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0D52">
        <w:rPr>
          <w:rFonts w:ascii="Times New Roman" w:hAnsi="Times New Roman" w:cs="Times New Roman"/>
          <w:sz w:val="20"/>
          <w:szCs w:val="20"/>
        </w:rPr>
        <w:t>- установке металлического ограждения барьерного типа на разделительной полосе автодороги Набережные Челны – Заинск – Альметьевск.</w:t>
      </w:r>
      <w:r w:rsidRPr="00E40D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40D52">
        <w:rPr>
          <w:rFonts w:ascii="Times New Roman" w:hAnsi="Times New Roman" w:cs="Times New Roman"/>
          <w:sz w:val="20"/>
          <w:szCs w:val="20"/>
        </w:rPr>
        <w:t>- устройству на территории 34 районов 132 искусственных неровностей на примыканиях второстепенных дорог, улиц населенных пунктов, вблизи организаций обслуживания населения и образовательных организаций на автомобильных дорогах.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40D52">
        <w:rPr>
          <w:rFonts w:ascii="Times New Roman" w:hAnsi="Times New Roman" w:cs="Times New Roman"/>
          <w:b/>
          <w:sz w:val="20"/>
          <w:szCs w:val="20"/>
        </w:rPr>
        <w:t>В рамках муниципальных дорожных фондов</w:t>
      </w:r>
      <w:r w:rsidRPr="00E40D52">
        <w:rPr>
          <w:rFonts w:ascii="Times New Roman" w:hAnsi="Times New Roman" w:cs="Times New Roman"/>
          <w:sz w:val="20"/>
          <w:szCs w:val="20"/>
        </w:rPr>
        <w:t xml:space="preserve"> в 2021 году предусмотрены первоочередные мероприятия по повышению безопасности дорожного движения на маршрутах следования детей «Дом – Школа – Дом» и на аварийно-опасных местах (обустройство искусственных неровностей, установка дорожных знаков, установка ограждений безопасности и освещения).</w:t>
      </w:r>
      <w:r w:rsidRPr="00E40D52">
        <w:rPr>
          <w:rFonts w:ascii="Times New Roman" w:eastAsia="Times New Roman" w:hAnsi="Times New Roman"/>
          <w:sz w:val="20"/>
          <w:szCs w:val="20"/>
        </w:rPr>
        <w:t xml:space="preserve"> Работы должны быть выполнены до 1 сентября 2021 года.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D52">
        <w:rPr>
          <w:rFonts w:ascii="Times New Roman" w:hAnsi="Times New Roman" w:cs="Times New Roman"/>
          <w:sz w:val="20"/>
          <w:szCs w:val="20"/>
        </w:rPr>
        <w:t xml:space="preserve">Министерств транспорта и дорожного хозяйства РТ постоянно проводит работу по </w:t>
      </w:r>
      <w:r w:rsidRPr="00E40D52">
        <w:rPr>
          <w:rFonts w:ascii="Times New Roman" w:hAnsi="Times New Roman" w:cs="Times New Roman"/>
          <w:b/>
          <w:sz w:val="20"/>
          <w:szCs w:val="20"/>
        </w:rPr>
        <w:t>внедрению новых материалов и технологий</w:t>
      </w:r>
      <w:r w:rsidRPr="00E40D52">
        <w:rPr>
          <w:rFonts w:ascii="Times New Roman" w:hAnsi="Times New Roman" w:cs="Times New Roman"/>
          <w:sz w:val="20"/>
          <w:szCs w:val="20"/>
        </w:rPr>
        <w:t>. Так, в рамках национального проекта на 86 объектах будут применены новых технологии и материалы – в частности, асфальтобетонных покрытий, запроектированных по методологиям объемного проектирования по новым ГОСТам. Это составляет 88% от общего количества (план 10%).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D52">
        <w:rPr>
          <w:rFonts w:ascii="Times New Roman" w:hAnsi="Times New Roman" w:cs="Times New Roman"/>
          <w:sz w:val="20"/>
          <w:szCs w:val="20"/>
        </w:rPr>
        <w:t>Помимо национального проекта ежегодно реализуется план использованию новых материалов и технологий. За три предшествующих года проведены работы по внедрению более чем на 90 объектах. В 2020 году проведены работы на 35 объектах. В 2021 году на автомобильных дорогах и искусственных сооружениях запланированы работы с использованием пористо-мастичного асфальтобетона, различных добавок в асфальтобетон, обработанных и модифицированных местных минеральных материалов, композитных материалов, современных гидроизолирующих систем и др.</w:t>
      </w:r>
    </w:p>
    <w:p w:rsidR="00E40D52" w:rsidRPr="00E40D52" w:rsidRDefault="00E40D52" w:rsidP="00E40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D52">
        <w:rPr>
          <w:rFonts w:ascii="Times New Roman" w:hAnsi="Times New Roman" w:cs="Times New Roman"/>
          <w:sz w:val="20"/>
          <w:szCs w:val="20"/>
        </w:rPr>
        <w:t xml:space="preserve">Особое внимание уделяется </w:t>
      </w:r>
      <w:r w:rsidRPr="00E40D52">
        <w:rPr>
          <w:rFonts w:ascii="Times New Roman" w:hAnsi="Times New Roman" w:cs="Times New Roman"/>
          <w:b/>
          <w:sz w:val="20"/>
          <w:szCs w:val="20"/>
        </w:rPr>
        <w:t>качеству выполняемых дорожных работ</w:t>
      </w:r>
      <w:r w:rsidRPr="00E40D52">
        <w:rPr>
          <w:rFonts w:ascii="Times New Roman" w:hAnsi="Times New Roman" w:cs="Times New Roman"/>
          <w:sz w:val="20"/>
          <w:szCs w:val="20"/>
        </w:rPr>
        <w:t xml:space="preserve">. Контроль качества работ проводится на разных уровнях ее выполнения. На уровне подрядной организации ведется постоянный контроль качества поступающих материалов и контроль соответствия требованиям нормативных документов. На уровне заказчика контролируется соблюдение технологии работ с привлечением собственной и независимых лабораторий. Также осуществляется технический контроль органами </w:t>
      </w:r>
      <w:proofErr w:type="spellStart"/>
      <w:r w:rsidRPr="00E40D52">
        <w:rPr>
          <w:rFonts w:ascii="Times New Roman" w:hAnsi="Times New Roman" w:cs="Times New Roman"/>
          <w:sz w:val="20"/>
          <w:szCs w:val="20"/>
        </w:rPr>
        <w:t>Госстройнадзора</w:t>
      </w:r>
      <w:proofErr w:type="spellEnd"/>
      <w:r w:rsidRPr="00E40D52">
        <w:rPr>
          <w:rFonts w:ascii="Times New Roman" w:hAnsi="Times New Roman" w:cs="Times New Roman"/>
          <w:sz w:val="20"/>
          <w:szCs w:val="20"/>
        </w:rPr>
        <w:t>. Выполненные работы не принимаются без подтверждения качества работ результатами инструментальной диагностики по параметрам ровности, шероховатости, сцепных свойств и модуля упругости. На каждый выполненный объект подрядчик устанавливает гарантийные обязательства. В течении срока действия таких обязательств будет за свой счет устранять образовавшиеся дефекты.</w:t>
      </w:r>
    </w:p>
    <w:p w:rsidR="000B61C0" w:rsidRPr="000B61C0" w:rsidRDefault="000B61C0" w:rsidP="000B6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1C0">
        <w:rPr>
          <w:rFonts w:ascii="Times New Roman" w:hAnsi="Times New Roman" w:cs="Times New Roman"/>
          <w:b/>
          <w:sz w:val="20"/>
          <w:szCs w:val="20"/>
        </w:rPr>
        <w:t>Участники брифинга:</w:t>
      </w:r>
    </w:p>
    <w:p w:rsidR="000B61C0" w:rsidRP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 xml:space="preserve">-  </w:t>
      </w:r>
      <w:r w:rsidR="006B79DB">
        <w:rPr>
          <w:rFonts w:ascii="Times New Roman" w:hAnsi="Times New Roman" w:cs="Times New Roman"/>
          <w:sz w:val="20"/>
          <w:szCs w:val="20"/>
        </w:rPr>
        <w:t xml:space="preserve">Артем Викторович </w:t>
      </w:r>
      <w:proofErr w:type="spellStart"/>
      <w:r w:rsidR="006B79DB">
        <w:rPr>
          <w:rFonts w:ascii="Times New Roman" w:hAnsi="Times New Roman" w:cs="Times New Roman"/>
          <w:sz w:val="20"/>
          <w:szCs w:val="20"/>
        </w:rPr>
        <w:t>Чукин</w:t>
      </w:r>
      <w:proofErr w:type="spellEnd"/>
      <w:r w:rsidRPr="000B61C0">
        <w:rPr>
          <w:rFonts w:ascii="Times New Roman" w:hAnsi="Times New Roman" w:cs="Times New Roman"/>
          <w:sz w:val="20"/>
          <w:szCs w:val="20"/>
        </w:rPr>
        <w:t xml:space="preserve">, </w:t>
      </w:r>
      <w:r w:rsidR="006B79DB"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Pr="000B61C0">
        <w:rPr>
          <w:rFonts w:ascii="Times New Roman" w:hAnsi="Times New Roman" w:cs="Times New Roman"/>
          <w:sz w:val="20"/>
          <w:szCs w:val="20"/>
        </w:rPr>
        <w:t>министр транспорта и дорожного хозяйства РТ;</w:t>
      </w:r>
    </w:p>
    <w:p w:rsid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>- Эдуард Юрьевич Данилов, директор Государственного казенног</w:t>
      </w:r>
      <w:r w:rsidR="006B79DB">
        <w:rPr>
          <w:rFonts w:ascii="Times New Roman" w:hAnsi="Times New Roman" w:cs="Times New Roman"/>
          <w:sz w:val="20"/>
          <w:szCs w:val="20"/>
        </w:rPr>
        <w:t>о учреждения «</w:t>
      </w:r>
      <w:proofErr w:type="spellStart"/>
      <w:r w:rsidR="006B79DB">
        <w:rPr>
          <w:rFonts w:ascii="Times New Roman" w:hAnsi="Times New Roman" w:cs="Times New Roman"/>
          <w:sz w:val="20"/>
          <w:szCs w:val="20"/>
        </w:rPr>
        <w:t>Главтатдортранс</w:t>
      </w:r>
      <w:proofErr w:type="spellEnd"/>
      <w:r w:rsidR="006B79DB">
        <w:rPr>
          <w:rFonts w:ascii="Times New Roman" w:hAnsi="Times New Roman" w:cs="Times New Roman"/>
          <w:sz w:val="20"/>
          <w:szCs w:val="20"/>
        </w:rPr>
        <w:t>».</w:t>
      </w:r>
    </w:p>
    <w:p w:rsidR="00BF4EBA" w:rsidRPr="000B61C0" w:rsidRDefault="00BF4EBA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F4EBA" w:rsidRPr="000B61C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63B"/>
    <w:multiLevelType w:val="hybridMultilevel"/>
    <w:tmpl w:val="E64EDB06"/>
    <w:lvl w:ilvl="0" w:tplc="C4C2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0771E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876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1C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2000"/>
    <w:rsid w:val="001B22AF"/>
    <w:rsid w:val="001B35D9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5917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45FF"/>
    <w:rsid w:val="0038636C"/>
    <w:rsid w:val="00390698"/>
    <w:rsid w:val="00391C3C"/>
    <w:rsid w:val="00393BCB"/>
    <w:rsid w:val="00395D85"/>
    <w:rsid w:val="003A495F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3E28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29EA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0709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43F"/>
    <w:rsid w:val="00692694"/>
    <w:rsid w:val="006954F1"/>
    <w:rsid w:val="006963BE"/>
    <w:rsid w:val="00696C2C"/>
    <w:rsid w:val="006A15CF"/>
    <w:rsid w:val="006A1D82"/>
    <w:rsid w:val="006A4077"/>
    <w:rsid w:val="006A43EC"/>
    <w:rsid w:val="006A512A"/>
    <w:rsid w:val="006A51DE"/>
    <w:rsid w:val="006A5E2F"/>
    <w:rsid w:val="006A6422"/>
    <w:rsid w:val="006A7F03"/>
    <w:rsid w:val="006B178F"/>
    <w:rsid w:val="006B6B54"/>
    <w:rsid w:val="006B79DB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32671"/>
    <w:rsid w:val="007407AA"/>
    <w:rsid w:val="00741119"/>
    <w:rsid w:val="00745B8E"/>
    <w:rsid w:val="00746BF9"/>
    <w:rsid w:val="0074765E"/>
    <w:rsid w:val="00750A04"/>
    <w:rsid w:val="007521C9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06A0"/>
    <w:rsid w:val="007C1300"/>
    <w:rsid w:val="007C3C6A"/>
    <w:rsid w:val="007C485B"/>
    <w:rsid w:val="007C558E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2C6C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868B4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3599D"/>
    <w:rsid w:val="00B4500B"/>
    <w:rsid w:val="00B45828"/>
    <w:rsid w:val="00B562A9"/>
    <w:rsid w:val="00B627DE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BF4EBA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20A7"/>
    <w:rsid w:val="00D8421D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0811"/>
    <w:rsid w:val="00DC10D9"/>
    <w:rsid w:val="00DC2278"/>
    <w:rsid w:val="00DC3E7C"/>
    <w:rsid w:val="00DC56C2"/>
    <w:rsid w:val="00DC5B34"/>
    <w:rsid w:val="00DC689D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0D52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201A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6966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5ABF-FDC6-4629-8EAA-50E19E2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7C130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1300"/>
  </w:style>
  <w:style w:type="table" w:styleId="af2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7326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C94E-9E6C-47CE-A8C2-495102EA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Клевлеева Наиля Магсумовна</cp:lastModifiedBy>
  <cp:revision>3</cp:revision>
  <cp:lastPrinted>2011-07-29T08:45:00Z</cp:lastPrinted>
  <dcterms:created xsi:type="dcterms:W3CDTF">2021-04-27T05:22:00Z</dcterms:created>
  <dcterms:modified xsi:type="dcterms:W3CDTF">2021-04-27T09:29:00Z</dcterms:modified>
</cp:coreProperties>
</file>